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5F2C9B" w:rsidRDefault="002717D1" w:rsidP="004B0683">
      <w:pPr>
        <w:pStyle w:val="Encabezado"/>
        <w:jc w:val="center"/>
        <w:rPr>
          <w:rFonts w:ascii="Edwardian Script ITC" w:hAnsi="Edwardian Script ITC" w:cs="Monotype Corsiva"/>
          <w:b/>
          <w:bCs/>
          <w:sz w:val="36"/>
          <w:szCs w:val="36"/>
          <w:lang w:eastAsia="es-MX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Rama Legislativa del Poder Público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 xml:space="preserve">Comisión Séptima Constitucional Permanente 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Legislatura 201</w:t>
      </w:r>
      <w:r w:rsidR="00900587">
        <w:rPr>
          <w:rFonts w:ascii="Edwardian Script ITC" w:hAnsi="Edwardian Script ITC" w:cs="Monotype Corsiva"/>
          <w:b/>
          <w:bCs/>
          <w:sz w:val="36"/>
          <w:szCs w:val="36"/>
        </w:rPr>
        <w:t>9-2020</w:t>
      </w:r>
    </w:p>
    <w:p w:rsidR="00A769D4" w:rsidRDefault="00A769D4" w:rsidP="003E19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E193F" w:rsidRPr="00207968" w:rsidRDefault="002717D1" w:rsidP="00282D98">
      <w:pPr>
        <w:pStyle w:val="Sinespaciado"/>
        <w:jc w:val="both"/>
        <w:rPr>
          <w:rFonts w:ascii="Arial" w:eastAsia="Times New Roman" w:hAnsi="Arial" w:cs="Arial"/>
          <w:b/>
          <w:iCs/>
          <w:lang w:eastAsia="es-CO"/>
        </w:rPr>
      </w:pPr>
      <w:r w:rsidRPr="00207968">
        <w:rPr>
          <w:rFonts w:ascii="Arial" w:hAnsi="Arial" w:cs="Arial"/>
          <w:b/>
          <w:bCs/>
        </w:rPr>
        <w:t>TEXTO DEFINITIVO APROBADO EN PRI</w:t>
      </w:r>
      <w:r w:rsidR="005D3575" w:rsidRPr="00207968">
        <w:rPr>
          <w:rFonts w:ascii="Arial" w:hAnsi="Arial" w:cs="Arial"/>
          <w:b/>
          <w:bCs/>
        </w:rPr>
        <w:t xml:space="preserve">MER DEBATE </w:t>
      </w:r>
      <w:r w:rsidR="007B03BB" w:rsidRPr="00207968">
        <w:rPr>
          <w:rFonts w:ascii="Arial" w:hAnsi="Arial" w:cs="Arial"/>
          <w:b/>
          <w:bCs/>
        </w:rPr>
        <w:t>DE</w:t>
      </w:r>
      <w:r w:rsidR="005D3575" w:rsidRPr="00207968">
        <w:rPr>
          <w:rFonts w:ascii="Arial" w:hAnsi="Arial" w:cs="Arial"/>
          <w:b/>
          <w:bCs/>
        </w:rPr>
        <w:t xml:space="preserve">L PROYECTO DE LEY </w:t>
      </w:r>
      <w:r w:rsidR="00CB575F">
        <w:rPr>
          <w:rFonts w:ascii="Arial" w:hAnsi="Arial" w:cs="Arial"/>
          <w:b/>
        </w:rPr>
        <w:t>No.</w:t>
      </w:r>
      <w:r w:rsidR="00CB575F" w:rsidRPr="00667394">
        <w:rPr>
          <w:rFonts w:ascii="Arial" w:hAnsi="Arial" w:cs="Arial"/>
          <w:b/>
        </w:rPr>
        <w:t xml:space="preserve"> </w:t>
      </w:r>
      <w:r w:rsidR="00F00465">
        <w:rPr>
          <w:rFonts w:ascii="Arial" w:hAnsi="Arial" w:cs="Arial"/>
          <w:b/>
        </w:rPr>
        <w:t>167</w:t>
      </w:r>
      <w:r w:rsidR="00CB575F">
        <w:rPr>
          <w:rFonts w:ascii="Arial" w:hAnsi="Arial" w:cs="Arial"/>
          <w:b/>
        </w:rPr>
        <w:t xml:space="preserve"> de 2019 </w:t>
      </w:r>
      <w:r w:rsidR="00CB575F" w:rsidRPr="00667394">
        <w:rPr>
          <w:rFonts w:ascii="Arial" w:hAnsi="Arial" w:cs="Arial"/>
          <w:b/>
        </w:rPr>
        <w:t>CÁMARA</w:t>
      </w:r>
      <w:r w:rsidR="00CB575F">
        <w:rPr>
          <w:rFonts w:ascii="Arial" w:hAnsi="Arial" w:cs="Arial"/>
          <w:b/>
        </w:rPr>
        <w:t xml:space="preserve"> </w:t>
      </w:r>
      <w:r w:rsidR="00F00465" w:rsidRPr="00F00465">
        <w:rPr>
          <w:rFonts w:ascii="Arial" w:hAnsi="Arial" w:cs="Arial"/>
          <w:b/>
        </w:rPr>
        <w:t>“POR MEDIO DE LA CUAL SE ADOPTAN MEDIDAS PARA FOMENTAR ENTORNOS ALIMENTARIOS SALUDABLES Y PREVENIR ENFERMEDADES NO TRASMISIBLES Y SE ADOPTAN OTRAS DISPOSICIONES”</w:t>
      </w:r>
      <w:r w:rsidR="00F00465" w:rsidRPr="00F00465">
        <w:rPr>
          <w:b/>
        </w:rPr>
        <w:t>.</w:t>
      </w:r>
    </w:p>
    <w:p w:rsidR="00EA51D6" w:rsidRDefault="00EA51D6" w:rsidP="00CE617B">
      <w:pPr>
        <w:pStyle w:val="Sinespaciado"/>
        <w:jc w:val="center"/>
        <w:rPr>
          <w:rFonts w:ascii="Arial" w:hAnsi="Arial" w:cs="Arial"/>
        </w:rPr>
      </w:pPr>
    </w:p>
    <w:p w:rsidR="002717D1" w:rsidRPr="00207968" w:rsidRDefault="002717D1" w:rsidP="00CE617B">
      <w:pPr>
        <w:pStyle w:val="Sinespaciado"/>
        <w:jc w:val="center"/>
        <w:rPr>
          <w:rFonts w:ascii="Arial" w:hAnsi="Arial" w:cs="Arial"/>
        </w:rPr>
      </w:pPr>
      <w:r w:rsidRPr="00207968">
        <w:rPr>
          <w:rFonts w:ascii="Arial" w:hAnsi="Arial" w:cs="Arial"/>
        </w:rPr>
        <w:t xml:space="preserve">(Aprobado en la </w:t>
      </w:r>
      <w:r w:rsidR="006B757E" w:rsidRPr="00207968">
        <w:rPr>
          <w:rFonts w:ascii="Arial" w:hAnsi="Arial" w:cs="Arial"/>
        </w:rPr>
        <w:t>Sesión</w:t>
      </w:r>
      <w:r w:rsidR="00282D98">
        <w:rPr>
          <w:rFonts w:ascii="Arial" w:hAnsi="Arial" w:cs="Arial"/>
        </w:rPr>
        <w:t xml:space="preserve"> virtual </w:t>
      </w:r>
      <w:r w:rsidRPr="00207968">
        <w:rPr>
          <w:rFonts w:ascii="Arial" w:hAnsi="Arial" w:cs="Arial"/>
        </w:rPr>
        <w:t>de</w:t>
      </w:r>
      <w:r w:rsidR="006B757E" w:rsidRPr="00207968">
        <w:rPr>
          <w:rFonts w:ascii="Arial" w:hAnsi="Arial" w:cs="Arial"/>
        </w:rPr>
        <w:t xml:space="preserve">l </w:t>
      </w:r>
      <w:r w:rsidR="00CB575F">
        <w:rPr>
          <w:rFonts w:ascii="Arial" w:hAnsi="Arial" w:cs="Arial"/>
        </w:rPr>
        <w:t>1</w:t>
      </w:r>
      <w:r w:rsidR="00F00465">
        <w:rPr>
          <w:rFonts w:ascii="Arial" w:hAnsi="Arial" w:cs="Arial"/>
        </w:rPr>
        <w:t>0</w:t>
      </w:r>
      <w:r w:rsidR="00CB575F">
        <w:rPr>
          <w:rFonts w:ascii="Arial" w:hAnsi="Arial" w:cs="Arial"/>
        </w:rPr>
        <w:t xml:space="preserve"> de junio </w:t>
      </w:r>
      <w:r w:rsidRPr="00207968">
        <w:rPr>
          <w:rFonts w:ascii="Arial" w:hAnsi="Arial" w:cs="Arial"/>
        </w:rPr>
        <w:t>de 20</w:t>
      </w:r>
      <w:r w:rsidR="00282D98">
        <w:rPr>
          <w:rFonts w:ascii="Arial" w:hAnsi="Arial" w:cs="Arial"/>
        </w:rPr>
        <w:t>20,</w:t>
      </w:r>
      <w:r w:rsidRPr="00207968">
        <w:rPr>
          <w:rFonts w:ascii="Arial" w:hAnsi="Arial" w:cs="Arial"/>
        </w:rPr>
        <w:t xml:space="preserve"> Comisión VII </w:t>
      </w:r>
      <w:r w:rsidR="00282D98">
        <w:rPr>
          <w:rFonts w:ascii="Arial" w:hAnsi="Arial" w:cs="Arial"/>
        </w:rPr>
        <w:t xml:space="preserve">Constitucional Permanente </w:t>
      </w:r>
      <w:r w:rsidRPr="00207968">
        <w:rPr>
          <w:rFonts w:ascii="Arial" w:hAnsi="Arial" w:cs="Arial"/>
        </w:rPr>
        <w:t>de la H. Cámara de Representantes, Acta No.</w:t>
      </w:r>
      <w:r w:rsidR="006B757E" w:rsidRPr="00207968">
        <w:rPr>
          <w:rFonts w:ascii="Arial" w:hAnsi="Arial" w:cs="Arial"/>
        </w:rPr>
        <w:t xml:space="preserve"> </w:t>
      </w:r>
      <w:r w:rsidR="00CB575F">
        <w:rPr>
          <w:rFonts w:ascii="Arial" w:hAnsi="Arial" w:cs="Arial"/>
        </w:rPr>
        <w:t>4</w:t>
      </w:r>
      <w:r w:rsidR="00F00465">
        <w:rPr>
          <w:rFonts w:ascii="Arial" w:hAnsi="Arial" w:cs="Arial"/>
        </w:rPr>
        <w:t>8</w:t>
      </w:r>
      <w:r w:rsidRPr="00207968">
        <w:rPr>
          <w:rFonts w:ascii="Arial" w:hAnsi="Arial" w:cs="Arial"/>
        </w:rPr>
        <w:t>)</w:t>
      </w:r>
    </w:p>
    <w:p w:rsidR="009660EF" w:rsidRDefault="009660EF" w:rsidP="00CE617B">
      <w:pPr>
        <w:pStyle w:val="Sinespaciado"/>
        <w:jc w:val="center"/>
        <w:rPr>
          <w:rFonts w:ascii="Arial" w:hAnsi="Arial" w:cs="Arial"/>
          <w:b/>
        </w:rPr>
      </w:pPr>
    </w:p>
    <w:p w:rsidR="001C7B89" w:rsidRPr="00207968" w:rsidRDefault="001C7B89" w:rsidP="00CE617B">
      <w:pPr>
        <w:pStyle w:val="Sinespaciado"/>
        <w:jc w:val="center"/>
        <w:rPr>
          <w:rFonts w:ascii="Arial" w:hAnsi="Arial" w:cs="Arial"/>
          <w:b/>
        </w:rPr>
      </w:pPr>
      <w:r w:rsidRPr="00207968">
        <w:rPr>
          <w:rFonts w:ascii="Arial" w:hAnsi="Arial" w:cs="Arial"/>
          <w:b/>
        </w:rPr>
        <w:t>EL CONGRESO DE COLOMBIA</w:t>
      </w:r>
    </w:p>
    <w:p w:rsidR="00CE617B" w:rsidRPr="00207968" w:rsidRDefault="00CE617B" w:rsidP="00CE617B">
      <w:pPr>
        <w:pStyle w:val="Sinespaciado"/>
        <w:jc w:val="center"/>
        <w:rPr>
          <w:rFonts w:ascii="Arial" w:hAnsi="Arial" w:cs="Arial"/>
          <w:b/>
        </w:rPr>
      </w:pPr>
    </w:p>
    <w:p w:rsidR="00EA48F0" w:rsidRPr="00207968" w:rsidRDefault="00EA48F0" w:rsidP="00EA48F0">
      <w:pPr>
        <w:pStyle w:val="Sinespaciado"/>
        <w:jc w:val="center"/>
        <w:rPr>
          <w:rFonts w:ascii="Arial" w:hAnsi="Arial" w:cs="Arial"/>
          <w:b/>
        </w:rPr>
      </w:pPr>
      <w:r w:rsidRPr="00207968">
        <w:rPr>
          <w:rFonts w:ascii="Arial" w:hAnsi="Arial" w:cs="Arial"/>
          <w:b/>
        </w:rPr>
        <w:t>DECRETA:</w:t>
      </w:r>
    </w:p>
    <w:p w:rsidR="009660EF" w:rsidRDefault="009660EF" w:rsidP="00CB575F">
      <w:pPr>
        <w:pStyle w:val="Sinespaciado"/>
        <w:jc w:val="both"/>
        <w:rPr>
          <w:rFonts w:ascii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  <w:b/>
        </w:rPr>
        <w:t>Artículo 1º. Objeto.</w:t>
      </w:r>
      <w:r w:rsidRPr="00FA1B01">
        <w:rPr>
          <w:rFonts w:ascii="Arial" w:eastAsia="Calibri" w:hAnsi="Arial" w:cs="Times New Roman"/>
        </w:rPr>
        <w:t xml:space="preserve"> La presente ley adopta medidas que promueven entornos alimentarios saludables, garantizando el derecho fundamental a la salud de las niñas, niños y adolescentes, con el fin de prevenir la aparición de Enfermedades No Transmisibles. Se adoptarán medidas efectivas que promuevan estos entornos y que permitan el acceso a información clara, veraz, oportuna, visible, idónea y suficiente, sobre los alimentos a efectos de fomentar hábitos alimentarios.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Artículo 2º. Ámbito de aplicación.</w:t>
      </w:r>
      <w:r w:rsidRPr="00FA1B01">
        <w:rPr>
          <w:rFonts w:ascii="Arial" w:eastAsia="Calibri" w:hAnsi="Arial" w:cs="Times New Roman"/>
        </w:rPr>
        <w:t xml:space="preserve"> Se aplicará en todo el territorio nacional y cobijará a todos los actores en los distintos niveles de decisión que formulen políticas públicas, planes o programas que tengan relación.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FA1B01">
        <w:rPr>
          <w:rFonts w:ascii="Arial" w:eastAsia="Arial" w:hAnsi="Arial" w:cs="Arial"/>
          <w:b/>
        </w:rPr>
        <w:t xml:space="preserve">Artículo 3° Definiciones.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Las Enfermedades Transmisibles: </w:t>
      </w:r>
      <w:r w:rsidRPr="00FA1B01">
        <w:rPr>
          <w:rFonts w:ascii="Arial" w:eastAsia="Calibri" w:hAnsi="Arial" w:cs="Times New Roman"/>
        </w:rPr>
        <w:t xml:space="preserve">Las Enfermedades No Transmisibles (ENT) también conocidas como enfermedades crónicas, son afecciones de larga duración con una progresión generalmente lenta, estas resultan de la combinación de factores genéticos, fisiológicos, ambientales y conductuales. En ocasiones, las ENT tienen su origen en factores biológicos inevitables, pero a menudo son causadas por ciertos hábitos como el consumo de tabaco, el consumo excesivo de alcohol, la falta de una alimentación saludable y de actividad física.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FA1B01">
        <w:rPr>
          <w:rFonts w:ascii="Arial" w:eastAsia="Arial" w:hAnsi="Arial" w:cs="Arial"/>
          <w:b/>
        </w:rPr>
        <w:t xml:space="preserve">Entorno Saludable: </w:t>
      </w:r>
      <w:r w:rsidRPr="00FA1B01">
        <w:rPr>
          <w:rFonts w:ascii="Arial" w:eastAsia="Calibri" w:hAnsi="Arial" w:cs="Times New Roman"/>
        </w:rPr>
        <w:t>Los Entornos Saludables se entienden como el punto de encuentro y relación de los individuos donde se promueven referentes sociales y culturales que brindan parámetros de comportamiento para el fomento de acciones integrales de promoción de la salud y el bienestar.</w:t>
      </w:r>
      <w:r w:rsidRPr="00FA1B01">
        <w:rPr>
          <w:rFonts w:ascii="Arial" w:eastAsia="Arial" w:hAnsi="Arial" w:cs="Arial"/>
          <w:b/>
        </w:rPr>
        <w:t xml:space="preserve">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Modos, condiciones y estilos de vida saludable:</w:t>
      </w:r>
      <w:r w:rsidRPr="00FA1B01">
        <w:rPr>
          <w:rFonts w:ascii="Arial" w:eastAsia="Calibri" w:hAnsi="Arial" w:cs="Times New Roman"/>
        </w:rPr>
        <w:t xml:space="preserve"> son un conjunto de intervenciones poblacionales, colectivas e individuales, que actúan de manera independiente. Se gestionan y promueven desde lo sectorial, transectorial y comunitario, para propiciar entornos cotidianos que favorezcan una vida saludable.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Alimentación saludable: </w:t>
      </w:r>
      <w:r w:rsidRPr="00FA1B01">
        <w:rPr>
          <w:rFonts w:ascii="Arial" w:eastAsia="Calibri" w:hAnsi="Arial" w:cs="Times New Roman"/>
        </w:rPr>
        <w:t xml:space="preserve">Es aquella que satisface las necesidades de energía y nutrientes en todas las etapas de la vida considerando su estado fisiológico y velocidad de crecimiento. Se caracteriza por ser una alimentación completa, equilibrada, suficiente, adecuada, diversificada e inocua que previene la aparición de enfermedades asociadas con una ingesta deficiente o excesiva de energía y nutrientes.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lastRenderedPageBreak/>
        <w:t>Alimento:</w:t>
      </w:r>
      <w:r w:rsidRPr="00FA1B01">
        <w:rPr>
          <w:rFonts w:ascii="Arial" w:eastAsia="Calibri" w:hAnsi="Arial" w:cs="Times New Roman"/>
        </w:rPr>
        <w:t xml:space="preserve"> Es toda sustancia elaborada, semi-elaborada o natural, que se destina al consumo humano, incluyendo las bebidas, el chicle y cualesquiera otras sustancias que se utilicen en la fabricación, preparación o tratamiento de los alimentos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Inocuidad de Alimentos: </w:t>
      </w:r>
      <w:r w:rsidRPr="00FA1B01">
        <w:rPr>
          <w:rFonts w:ascii="Arial" w:eastAsia="Calibri" w:hAnsi="Arial" w:cs="Times New Roman"/>
        </w:rPr>
        <w:t>La inocuidad de los alimentos engloba acciones encaminadas a garantizar la máxima seguridad posible de los alimentos. Las políticas y actividades que persiguen dicho fin deberán de abarcar toda la cadena alimenticia, desde la producción al consumo.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Arial"/>
        </w:rPr>
      </w:pPr>
      <w:r w:rsidRPr="00FA1B01">
        <w:rPr>
          <w:rFonts w:ascii="Arial" w:eastAsia="Calibri" w:hAnsi="Arial" w:cs="Arial"/>
          <w:b/>
        </w:rPr>
        <w:t>Alimentos sin procesar y mínimamente procesados</w:t>
      </w:r>
      <w:r w:rsidRPr="00FA1B01">
        <w:rPr>
          <w:rFonts w:ascii="Arial" w:eastAsia="Calibri" w:hAnsi="Arial" w:cs="Arial"/>
        </w:rPr>
        <w:t xml:space="preserve">: Estos alimentos se obtienen directamente de plantas o de animales; los alimentos sin procesar no sufren alteración alguna tras extraerse de la naturaleza; los alimentos mínimamente procesados son aquellos sometidos a un proceso de limpieza, remoción de partes no comestibles o indeseables, fraccionamiento, molienda, secado, fermentación, pasteurización, refrigeración, congelación y procesos similares, sin añadir al alimento original sal, azúcar, aceites, grasas ni aditivos alimentarios u otras sustancias. Estos alimentos son considerados alimentos naturales.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Arial"/>
        </w:rPr>
      </w:pPr>
      <w:r w:rsidRPr="00FA1B01">
        <w:rPr>
          <w:rFonts w:ascii="Arial" w:eastAsia="Calibri" w:hAnsi="Arial" w:cs="Arial"/>
          <w:b/>
        </w:rPr>
        <w:t>Productos comestibles o bebibles procesados</w:t>
      </w:r>
      <w:r w:rsidRPr="00FA1B01">
        <w:rPr>
          <w:rFonts w:ascii="Arial" w:eastAsia="Calibri" w:hAnsi="Arial" w:cs="Arial"/>
        </w:rPr>
        <w:t xml:space="preserve">: Los productos procesados son fabricados añadiendo sal, azúcar u otra sustancia de uso culinario sin adición de aditivos alimentarios, a alimentos sin procesar o mínimamente procesados con el fin de hacerlos durables y más agradables al paladar. Son productos derivados directamente de alimentos y se reconocen como versiones de los alimentos originales.  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Arial"/>
        </w:rPr>
      </w:pPr>
      <w:r w:rsidRPr="00FA1B01">
        <w:rPr>
          <w:rFonts w:ascii="Arial" w:eastAsia="Calibri" w:hAnsi="Arial" w:cs="Arial"/>
          <w:b/>
        </w:rPr>
        <w:t>Productos comestibles o bebibles ultraprocesados</w:t>
      </w:r>
      <w:r w:rsidRPr="00FA1B01">
        <w:rPr>
          <w:rFonts w:ascii="Arial" w:eastAsia="Calibri" w:hAnsi="Arial" w:cs="Arial"/>
        </w:rPr>
        <w:t xml:space="preserve">: Formulaciones industriales fabricadas íntegra o mayormente con sustancias extraídas de alimentos (aceites, grasas, azúcar, almidón, proteínas), derivadas de constituyentes de alimentos (grasas hidrogenadas, almidón modificado) o sintetizadas en laboratorios a partir de materias orgánicas como petróleo y carbón (colorantes, aromatizantes, conservantes, resaltadores de sabor y diversos tipos de aditivos usados para dotar a los productos de propiedades sensoriales atractivas). Estos productos contienen un nivel elevado de azúcares, grasas y/o sodio, también se entiende por producto ultraprocesado aquel que tenga edulcorantes artificiales. 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Artículo 4°. </w:t>
      </w:r>
      <w:r w:rsidRPr="00FA1B01">
        <w:rPr>
          <w:rFonts w:ascii="Arial" w:eastAsia="Calibri" w:hAnsi="Arial" w:cs="Times New Roman"/>
        </w:rPr>
        <w:t>Créase el Consejo Nacional Intersectorial para la Prevención y Control de las Enfermedades No Transmisibles</w:t>
      </w:r>
      <w:r w:rsidRPr="00FA1B01">
        <w:rPr>
          <w:rFonts w:ascii="Arial" w:eastAsia="Arial" w:hAnsi="Arial" w:cs="Arial"/>
          <w:b/>
        </w:rPr>
        <w:t xml:space="preserve">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Parágrafo 1. </w:t>
      </w:r>
      <w:r w:rsidRPr="00FA1B01">
        <w:rPr>
          <w:rFonts w:ascii="Arial" w:eastAsia="Calibri" w:hAnsi="Arial" w:cs="Times New Roman"/>
        </w:rPr>
        <w:t>El Consejo Nacional Intersectorial para la Prevención y Control de las Enfermedades No Transmisibles estará en cabeza del Ministerio de Salud y Protección Social, el cual debe articular, direccionar y garantizar la sinergia en la implementación de estrategias, planes y programas necesarios para el desarrollo de entornos saludables, hábitos saludables, seguridad alimentaria, acceso y disponibilidad de agua potable, acceso oportuno a la información, además de todas las acciones para la atención integral y fomento de los entornos saludables para la prevención de enfermedades no transmisibles entre estas la obesidad y sobrepeso con especial atención en niños, niñas y adolescentes.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Artículo 5°.</w:t>
      </w:r>
      <w:r w:rsidRPr="00FA1B01">
        <w:rPr>
          <w:rFonts w:ascii="Arial" w:eastAsia="Calibri" w:hAnsi="Arial" w:cs="Times New Roman"/>
        </w:rPr>
        <w:t xml:space="preserve"> </w:t>
      </w:r>
      <w:r w:rsidRPr="00FA1B01">
        <w:rPr>
          <w:rFonts w:ascii="Arial" w:eastAsia="Arial" w:hAnsi="Arial" w:cs="Arial"/>
        </w:rPr>
        <w:t>El Consejo Nacional Intersectorial para la Prevención y Control</w:t>
      </w:r>
      <w:r w:rsidRPr="00FA1B01">
        <w:rPr>
          <w:rFonts w:ascii="Arial" w:eastAsia="Calibri" w:hAnsi="Arial" w:cs="Times New Roman"/>
        </w:rPr>
        <w:t xml:space="preserve"> </w:t>
      </w:r>
      <w:r w:rsidRPr="00FA1B01">
        <w:rPr>
          <w:rFonts w:ascii="Arial" w:eastAsia="Arial" w:hAnsi="Arial" w:cs="Arial"/>
        </w:rPr>
        <w:t>de las Enfermedades No Transmisibles</w:t>
      </w:r>
      <w:r w:rsidRPr="00FA1B01">
        <w:rPr>
          <w:rFonts w:ascii="Arial" w:eastAsia="Calibri" w:hAnsi="Arial" w:cs="Times New Roman"/>
        </w:rPr>
        <w:t xml:space="preserve">, deberá sesionar mínimo cada tres (3) meses y estará integrado de la siguiente manera: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Ministerio de Salud y Protección Social o su delegado </w:t>
      </w:r>
    </w:p>
    <w:p w:rsidR="00FA1B01" w:rsidRPr="00FA1B01" w:rsidRDefault="00FA1B01" w:rsidP="00FA1B01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Ministerio de Educación Nacional o su delegado </w:t>
      </w:r>
    </w:p>
    <w:p w:rsidR="00FA1B01" w:rsidRPr="00FA1B01" w:rsidRDefault="00FA1B01" w:rsidP="00FA1B01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Ministerio de Agricultura y Desarrollo Rural o su delegado </w:t>
      </w:r>
    </w:p>
    <w:p w:rsidR="00FA1B01" w:rsidRPr="00FA1B01" w:rsidRDefault="00FA1B01" w:rsidP="00FA1B01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Ministerio de Ambiente y Desarrollo Sostenible o su delegado. </w:t>
      </w:r>
    </w:p>
    <w:p w:rsidR="00FA1B01" w:rsidRPr="00FA1B01" w:rsidRDefault="00FA1B01" w:rsidP="00FA1B01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Ministerio Vivienda, Ciudad y Territorio o su delegado. </w:t>
      </w:r>
    </w:p>
    <w:p w:rsidR="00FA1B01" w:rsidRPr="00FA1B01" w:rsidRDefault="00FA1B01" w:rsidP="00FA1B01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Ministerio del Deporte o su delegado. </w:t>
      </w:r>
    </w:p>
    <w:p w:rsidR="00FA1B01" w:rsidRPr="00FA1B01" w:rsidRDefault="00FA1B01" w:rsidP="00FA1B01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Director del Instituto Colombiano de Bienestar Familiar ICBF o su delegado. </w:t>
      </w:r>
    </w:p>
    <w:p w:rsidR="00FA1B01" w:rsidRPr="00FA1B01" w:rsidRDefault="00FA1B01" w:rsidP="00FA1B01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lastRenderedPageBreak/>
        <w:t xml:space="preserve">Director del Departamento Nacional de Planeación o su delegado. </w:t>
      </w:r>
    </w:p>
    <w:p w:rsidR="00FA1B01" w:rsidRPr="00FA1B01" w:rsidRDefault="00FA1B01" w:rsidP="00FA1B01">
      <w:pPr>
        <w:numPr>
          <w:ilvl w:val="0"/>
          <w:numId w:val="25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Director del Departamento Prosperidad Social o su delegado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Artículo 6°.</w:t>
      </w:r>
      <w:r w:rsidRPr="00FA1B01">
        <w:rPr>
          <w:rFonts w:ascii="Arial" w:eastAsia="Calibri" w:hAnsi="Arial" w:cs="Times New Roman"/>
        </w:rPr>
        <w:t xml:space="preserve"> El Consejo Nacional Intersectorial para la Prevención y Control de las Enfermedades No Transmisibles tendrá las siguientes funciones: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Ser la instancia de orientación y decisión sobre el desarrollo e implementación de todas las políticas públicas relacionadas con la promoción, prevención y atención de Enfermedades No Transmisibles con especial atención en niños, niñas y adolescentes. 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Articular, direccionar, y garantizar la sinergia en el diagnóstico, diseño, implementación, seguimiento y evaluación de la implementación de políticas, estrategias, planes y programas necesarios para el desarrollo de entornos saludables, hábitos saludables, seguridad alimentaria,  el acceso a la información oportuna, acceso a agua potable siendo esta apta para  el consumo humano, además de todas las acciones para la atención integral de los problemas de obesidad y sobrepeso con especial atención en niños, niñas y adolescentes.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spacing w:after="0" w:line="240" w:lineRule="auto"/>
        <w:ind w:left="708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El Consejo Nacional Intersectorial para la Prevención y Control de las Enfermedades No Transmisibles tendrá en cuenta para el desarrollo de sus funciones, las encuestas nutricionales existentes, la evidencia científica y las particularidades regionales.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El Consejo Nacional Intersectorial para la Prevención y Control de las Enfermedades No Transmisibles deberá presentar un informe anual al Congreso de la República sobre los programas y estrategias implementados sobre la evolución de los indicadores de las enfermedades no transmisibles y la promoción de entornos saludables con especial atención en niños, niñas y adolescentes.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6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El Consejo Nacional Intersectorial para la Prevención y Control de las Enfermedades No Transmisibles deberá establecer con base a la evidencia científica los valores y porcentajes correspondientes a grasas, sodio, azúcar, entre otros, como insumo para la generación del perfil nutricional de Colombia.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Parágrafo 1: </w:t>
      </w:r>
      <w:r w:rsidRPr="00FA1B01">
        <w:rPr>
          <w:rFonts w:ascii="Arial" w:eastAsia="Calibri" w:hAnsi="Arial" w:cs="Times New Roman"/>
        </w:rPr>
        <w:t xml:space="preserve">El Consejo Nacional Intersectorial para la prevención y control de enfermedades no trasmisibles podrá crear un Comité Técnico Intersectorial para apoyar y asesorar las funciones del Consejo.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Parágrafo 2. </w:t>
      </w:r>
      <w:r w:rsidRPr="00FA1B01">
        <w:rPr>
          <w:rFonts w:ascii="Arial" w:eastAsia="Calibri" w:hAnsi="Arial" w:cs="Times New Roman"/>
        </w:rPr>
        <w:t xml:space="preserve">El Consejo Nacional Intersectorial para la Prevención y Control de las Enfermedades No Transmisibles se articulará y coordinará de acuerdo con las directrices, criterios y mecanismos de la Comisión Intersectorial de Salud Pública.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Parágrafo 3. </w:t>
      </w:r>
      <w:r w:rsidRPr="00FA1B01">
        <w:rPr>
          <w:rFonts w:ascii="Arial" w:eastAsia="Calibri" w:hAnsi="Arial" w:cs="Times New Roman"/>
        </w:rPr>
        <w:t xml:space="preserve">El Consejo Nacional Intersectorial para la Prevención y Control de las Enfermedades No Transmisibles articulará la estrategia Colombia Vive Saludable o quien haga sus veces.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Artículo 7°.</w:t>
      </w:r>
      <w:r w:rsidRPr="00FA1B01">
        <w:rPr>
          <w:rFonts w:ascii="Arial" w:eastAsia="Calibri" w:hAnsi="Arial" w:cs="Times New Roman"/>
        </w:rPr>
        <w:t xml:space="preserve"> Con el objetivo de informar de manera clara y suficiente, sobre los componentes que hacen parte de los alimentos, </w:t>
      </w:r>
      <w:r w:rsidRPr="00FA1B01">
        <w:rPr>
          <w:rFonts w:ascii="Arial" w:eastAsia="Arial" w:hAnsi="Arial" w:cs="Arial"/>
        </w:rPr>
        <w:t>créese la mesa técnica</w:t>
      </w:r>
      <w:r w:rsidRPr="00FA1B01">
        <w:rPr>
          <w:rFonts w:ascii="Arial" w:eastAsia="Calibri" w:hAnsi="Arial" w:cs="Times New Roman"/>
        </w:rPr>
        <w:t xml:space="preserve"> intersectorial la cual estará compuesto por: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Ministerio de Salud y Protección Social </w:t>
      </w:r>
    </w:p>
    <w:p w:rsidR="00FA1B01" w:rsidRPr="00FA1B01" w:rsidRDefault="00FA1B01" w:rsidP="00FA1B01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Ministerio de Comercio, Industria y Turismo </w:t>
      </w:r>
    </w:p>
    <w:p w:rsidR="00FA1B01" w:rsidRPr="00FA1B01" w:rsidRDefault="00FA1B01" w:rsidP="00FA1B01">
      <w:pPr>
        <w:numPr>
          <w:ilvl w:val="0"/>
          <w:numId w:val="27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Viceministerio de Agua y Saneamiento Básico </w:t>
      </w:r>
    </w:p>
    <w:p w:rsidR="00FA1B01" w:rsidRPr="00FA1B01" w:rsidRDefault="00FA1B01" w:rsidP="00FA1B01">
      <w:pPr>
        <w:numPr>
          <w:ilvl w:val="0"/>
          <w:numId w:val="27"/>
        </w:numPr>
        <w:spacing w:after="0" w:line="240" w:lineRule="auto"/>
        <w:jc w:val="both"/>
        <w:rPr>
          <w:rFonts w:ascii="Arial" w:eastAsia="Arial" w:hAnsi="Arial" w:cs="Arial"/>
          <w:b/>
        </w:rPr>
      </w:pPr>
      <w:r w:rsidRPr="00FA1B01">
        <w:rPr>
          <w:rFonts w:ascii="Arial" w:eastAsia="Calibri" w:hAnsi="Arial" w:cs="Times New Roman"/>
        </w:rPr>
        <w:t xml:space="preserve">Subsistema Nacional de la Calidad-SICAL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lastRenderedPageBreak/>
        <w:t xml:space="preserve">Parágrafo 1. </w:t>
      </w:r>
      <w:r w:rsidRPr="00FA1B01">
        <w:rPr>
          <w:rFonts w:ascii="Arial" w:eastAsia="Calibri" w:hAnsi="Arial" w:cs="Times New Roman"/>
        </w:rPr>
        <w:t xml:space="preserve">La conformación de esta mesa será la dispuesta en la presente ley y tendrá como exclusiva función la formulación del reglamento técnico sobre el etiquetado nutricional bajo el direccionamiento del Ministerio de Salud y Protección Social.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Parágrafo 2. </w:t>
      </w:r>
      <w:r w:rsidRPr="00FA1B01">
        <w:rPr>
          <w:rFonts w:ascii="Arial" w:eastAsia="Calibri" w:hAnsi="Arial" w:cs="Times New Roman"/>
        </w:rPr>
        <w:t xml:space="preserve">La Mesa técnica conformada tendrá un límite de doce (12) meses para presentar el reglamento técnico al </w:t>
      </w:r>
      <w:r w:rsidRPr="00FA1B01">
        <w:rPr>
          <w:rFonts w:ascii="Arial" w:eastAsia="Arial" w:hAnsi="Arial" w:cs="Arial"/>
        </w:rPr>
        <w:t>Consejo Nacional Intersectorial para la Prevención y Control de las Enfermedades No Transmisibles</w:t>
      </w:r>
      <w:r w:rsidRPr="00FA1B01">
        <w:rPr>
          <w:rFonts w:ascii="Arial" w:eastAsia="Arial" w:hAnsi="Arial" w:cs="Arial"/>
          <w:b/>
        </w:rPr>
        <w:t>,</w:t>
      </w:r>
      <w:r w:rsidRPr="00FA1B01">
        <w:rPr>
          <w:rFonts w:ascii="Arial" w:eastAsia="Calibri" w:hAnsi="Arial" w:cs="Times New Roman"/>
        </w:rPr>
        <w:t xml:space="preserve"> quien a su vez tendrá seis (6) meses como máximo para solicitar correcciones, aprobarlo e implementarlo</w:t>
      </w:r>
    </w:p>
    <w:p w:rsidR="00FA1B01" w:rsidRPr="00FA1B01" w:rsidRDefault="00FA1B01" w:rsidP="00FA1B01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es-ES_tradnl"/>
        </w:rPr>
      </w:pPr>
    </w:p>
    <w:p w:rsidR="002D0E1B" w:rsidRPr="00FA1B01" w:rsidRDefault="002A0907" w:rsidP="00FA1B01">
      <w:pPr>
        <w:spacing w:after="0" w:line="240" w:lineRule="auto"/>
        <w:jc w:val="both"/>
        <w:rPr>
          <w:rFonts w:ascii="Arial" w:eastAsia="Cambria" w:hAnsi="Arial" w:cs="Arial"/>
        </w:rPr>
      </w:pPr>
      <w:r w:rsidRPr="00FA1B01">
        <w:rPr>
          <w:rFonts w:ascii="Arial" w:eastAsia="Cambria" w:hAnsi="Arial" w:cs="Arial"/>
          <w:b/>
          <w:bCs/>
          <w:lang w:val="es-ES_tradnl"/>
        </w:rPr>
        <w:t xml:space="preserve">Artículo </w:t>
      </w:r>
      <w:r w:rsidRPr="00FA1B01">
        <w:rPr>
          <w:rFonts w:ascii="Arial" w:eastAsia="Cambria" w:hAnsi="Arial" w:cs="Arial"/>
          <w:b/>
          <w:bCs/>
          <w:lang w:val="es-ES_tradnl"/>
        </w:rPr>
        <w:t>8</w:t>
      </w:r>
      <w:r w:rsidRPr="00FA1B01">
        <w:rPr>
          <w:rFonts w:ascii="Arial" w:eastAsia="Cambria" w:hAnsi="Arial" w:cs="Arial"/>
          <w:b/>
          <w:bCs/>
          <w:lang w:val="es-ES_tradnl"/>
        </w:rPr>
        <w:t>º</w:t>
      </w:r>
      <w:r w:rsidRPr="00FA1B01">
        <w:rPr>
          <w:rFonts w:ascii="Arial" w:eastAsia="Cambria" w:hAnsi="Arial" w:cs="Arial"/>
          <w:lang w:val="es-ES_tradnl"/>
        </w:rPr>
        <w:t xml:space="preserve">. </w:t>
      </w:r>
      <w:r w:rsidRPr="00FA1B01">
        <w:rPr>
          <w:rFonts w:ascii="Arial" w:eastAsia="Cambria" w:hAnsi="Arial" w:cs="Arial"/>
          <w:b/>
          <w:bCs/>
          <w:lang w:val="es-ES_tradnl"/>
        </w:rPr>
        <w:t>Advertencias sanitarias</w:t>
      </w:r>
      <w:r w:rsidRPr="00FA1B01">
        <w:rPr>
          <w:rFonts w:ascii="Arial" w:eastAsia="Cambria" w:hAnsi="Arial" w:cs="Arial"/>
          <w:lang w:val="es-ES_tradnl"/>
        </w:rPr>
        <w:t xml:space="preserve">. Para todos los productos comestibles o bebibles </w:t>
      </w:r>
      <w:proofErr w:type="spellStart"/>
      <w:r w:rsidRPr="00FA1B01">
        <w:rPr>
          <w:rFonts w:ascii="Arial" w:eastAsia="Cambria" w:hAnsi="Arial" w:cs="Arial"/>
          <w:lang w:val="es-ES_tradnl"/>
        </w:rPr>
        <w:t>ultraprocesados</w:t>
      </w:r>
      <w:proofErr w:type="spellEnd"/>
      <w:r w:rsidRPr="00FA1B01">
        <w:rPr>
          <w:rFonts w:ascii="Arial" w:eastAsia="Cambria" w:hAnsi="Arial" w:cs="Arial"/>
          <w:lang w:val="es-ES_tradnl"/>
        </w:rPr>
        <w:t xml:space="preserve"> con cantidad excesiva de nutrientes críticos sin </w:t>
      </w:r>
      <w:r w:rsidRPr="00FA1B01">
        <w:rPr>
          <w:rFonts w:ascii="Arial" w:eastAsia="Cambria" w:hAnsi="Arial" w:cs="Arial"/>
          <w:lang w:val="es-ES_tradnl"/>
        </w:rPr>
        <w:t>limitarse a los siguientes: sodio, azúcares libres, grasas saturadas y edulcorantes se deberá implementar un etiquetado frontal donde se incorpore una advertencia sanitaria. Dicha advertencia será de alto impacto preventivo, claro, visible, legible, de fác</w:t>
      </w:r>
      <w:r w:rsidRPr="00FA1B01">
        <w:rPr>
          <w:rFonts w:ascii="Arial" w:eastAsia="Cambria" w:hAnsi="Arial" w:cs="Arial"/>
          <w:lang w:val="es-ES_tradnl"/>
        </w:rPr>
        <w:t xml:space="preserve">il identificación y comprensión para los consumidores, con mensajes inequívocos que adviertan al consumidor de los contenidos excesivos de nutrientes críticos. </w:t>
      </w:r>
      <w:r w:rsidRPr="00FA1B01">
        <w:rPr>
          <w:rFonts w:ascii="Arial" w:eastAsia="Cambria" w:hAnsi="Arial" w:cs="Arial"/>
          <w:bCs/>
          <w:lang w:val="es-ES_tradnl"/>
        </w:rPr>
        <w:t xml:space="preserve">El Gobierno Nacional, en cabeza del Ministerio de Salud y Protección Social, llevará a cabo los </w:t>
      </w:r>
      <w:r w:rsidRPr="00FA1B01">
        <w:rPr>
          <w:rFonts w:ascii="Arial" w:eastAsia="Cambria" w:hAnsi="Arial" w:cs="Arial"/>
          <w:bCs/>
          <w:lang w:val="es-ES_tradnl"/>
        </w:rPr>
        <w:t>estudios necesarios y el análisis de impacto normativo respectivo para establecer las condiciones técnicas de dicho etiquetado,</w:t>
      </w:r>
      <w:r w:rsidR="00FA1B01" w:rsidRPr="00FA1B01">
        <w:rPr>
          <w:rFonts w:ascii="Arial" w:eastAsia="Calibri" w:hAnsi="Arial" w:cs="Arial"/>
          <w:lang w:val="es-ES_tradnl"/>
        </w:rPr>
        <w:t xml:space="preserve"> </w:t>
      </w:r>
      <w:r w:rsidRPr="00FA1B01">
        <w:rPr>
          <w:rFonts w:ascii="Arial" w:eastAsia="Cambria" w:hAnsi="Arial" w:cs="Arial"/>
          <w:bCs/>
          <w:lang w:val="es-ES_tradnl"/>
        </w:rPr>
        <w:t>definiendo la forma, figura, símbolo, textos, colores, tamaño y ubicación en los empaques de los productos que deban contenerlo,</w:t>
      </w:r>
      <w:r w:rsidRPr="00FA1B01">
        <w:rPr>
          <w:rFonts w:ascii="Arial" w:eastAsia="Cambria" w:hAnsi="Arial" w:cs="Arial"/>
          <w:bCs/>
          <w:lang w:val="es-ES_tradnl"/>
        </w:rPr>
        <w:t xml:space="preserve"> basándose en evidencia científica disponible avalada por el Ministerio de Salud y Protección Social.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mbria" w:hAnsi="Arial" w:cs="Arial"/>
          <w:lang w:val="es-ES_tradnl"/>
        </w:rPr>
      </w:pPr>
    </w:p>
    <w:p w:rsidR="002D0E1B" w:rsidRPr="00FA1B01" w:rsidRDefault="002A0907" w:rsidP="00FA1B01">
      <w:pPr>
        <w:spacing w:after="0" w:line="240" w:lineRule="auto"/>
        <w:jc w:val="both"/>
        <w:rPr>
          <w:rFonts w:ascii="Arial" w:eastAsia="Cambria" w:hAnsi="Arial" w:cs="Arial"/>
        </w:rPr>
      </w:pPr>
      <w:r w:rsidRPr="00FA1B01">
        <w:rPr>
          <w:rFonts w:ascii="Arial" w:eastAsia="Cambria" w:hAnsi="Arial" w:cs="Arial"/>
          <w:lang w:val="es-ES_tradnl"/>
        </w:rPr>
        <w:t>La advertencia sanitaria deberá ir en la parte frontal del producto cuando los componentes del mismo se encuentren por encima de los valores máximos estab</w:t>
      </w:r>
      <w:r w:rsidRPr="00FA1B01">
        <w:rPr>
          <w:rFonts w:ascii="Arial" w:eastAsia="Cambria" w:hAnsi="Arial" w:cs="Arial"/>
          <w:lang w:val="es-ES_tradnl"/>
        </w:rPr>
        <w:t xml:space="preserve">lecidos </w:t>
      </w:r>
      <w:r w:rsidRPr="00FA1B01">
        <w:rPr>
          <w:rFonts w:ascii="Arial" w:eastAsia="Cambria" w:hAnsi="Arial" w:cs="Arial"/>
          <w:bCs/>
          <w:lang w:val="es-ES_tradnl"/>
        </w:rPr>
        <w:t>por el Gobierno Nacional, de acuerdo con la evidencia científica disponible avalada por el Ministerio de Salud y Protección Social</w:t>
      </w:r>
      <w:r w:rsidRPr="00FA1B01">
        <w:rPr>
          <w:rFonts w:ascii="Arial" w:eastAsia="Cambria" w:hAnsi="Arial" w:cs="Arial"/>
          <w:lang w:val="es-ES_tradnl"/>
        </w:rPr>
        <w:t xml:space="preserve">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mbria" w:hAnsi="Arial" w:cs="Arial"/>
          <w:b/>
          <w:bCs/>
          <w:lang w:val="es-ES_tradnl"/>
        </w:rPr>
      </w:pPr>
    </w:p>
    <w:p w:rsidR="002D0E1B" w:rsidRPr="00FA1B01" w:rsidRDefault="002A0907" w:rsidP="00FA1B01">
      <w:pPr>
        <w:spacing w:after="0" w:line="240" w:lineRule="auto"/>
        <w:jc w:val="both"/>
        <w:rPr>
          <w:rFonts w:ascii="Arial" w:eastAsia="Cambria" w:hAnsi="Arial" w:cs="Arial"/>
        </w:rPr>
      </w:pPr>
      <w:r w:rsidRPr="00FA1B01">
        <w:rPr>
          <w:rFonts w:ascii="Arial" w:eastAsia="Cambria" w:hAnsi="Arial" w:cs="Arial"/>
          <w:b/>
          <w:bCs/>
          <w:lang w:val="es-ES_tradnl"/>
        </w:rPr>
        <w:t xml:space="preserve">Parágrafo 1. </w:t>
      </w:r>
      <w:r w:rsidRPr="00FA1B01">
        <w:rPr>
          <w:rFonts w:ascii="Arial" w:eastAsia="Cambria" w:hAnsi="Arial" w:cs="Arial"/>
          <w:lang w:val="es-ES_tradnl"/>
        </w:rPr>
        <w:t xml:space="preserve"> El Instituto Nacional de Vigilancia de Medicamentos y Alimentos - INVIMA, o la entidad que haga</w:t>
      </w:r>
      <w:r w:rsidRPr="00FA1B01">
        <w:rPr>
          <w:rFonts w:ascii="Arial" w:eastAsia="Cambria" w:hAnsi="Arial" w:cs="Arial"/>
          <w:lang w:val="es-ES_tradnl"/>
        </w:rPr>
        <w:t xml:space="preserve"> sus veces a nivel nacional, deberá verificar los contenidos reportados por el fabricante, toda vez que haya duda sobre el contenido real del producto y los sellos incluidos por éste en el producto, y en caso de comprobar el incumplimiento, procederá a imp</w:t>
      </w:r>
      <w:r w:rsidRPr="00FA1B01">
        <w:rPr>
          <w:rFonts w:ascii="Arial" w:eastAsia="Cambria" w:hAnsi="Arial" w:cs="Arial"/>
          <w:lang w:val="es-ES_tradnl"/>
        </w:rPr>
        <w:t xml:space="preserve">oner las sanciones de que trata el artículo 577 de la Ley 9 de 1979.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mbria" w:hAnsi="Arial" w:cs="Arial"/>
          <w:b/>
          <w:bCs/>
          <w:lang w:val="es-ES_tradnl"/>
        </w:rPr>
      </w:pPr>
    </w:p>
    <w:p w:rsidR="002D0E1B" w:rsidRPr="00FA1B01" w:rsidRDefault="002A0907" w:rsidP="00FA1B01">
      <w:pPr>
        <w:spacing w:after="0" w:line="240" w:lineRule="auto"/>
        <w:jc w:val="both"/>
        <w:rPr>
          <w:rFonts w:ascii="Arial" w:eastAsia="Cambria" w:hAnsi="Arial" w:cs="Arial"/>
        </w:rPr>
      </w:pPr>
      <w:r w:rsidRPr="00FA1B01">
        <w:rPr>
          <w:rFonts w:ascii="Arial" w:eastAsia="Cambria" w:hAnsi="Arial" w:cs="Arial"/>
          <w:b/>
          <w:bCs/>
          <w:lang w:val="es-ES_tradnl"/>
        </w:rPr>
        <w:t xml:space="preserve">Parágrafo </w:t>
      </w:r>
      <w:r w:rsidRPr="00FA1B01">
        <w:rPr>
          <w:rFonts w:ascii="Arial" w:eastAsia="Cambria" w:hAnsi="Arial" w:cs="Arial"/>
          <w:b/>
          <w:bCs/>
          <w:lang w:val="es-ES_tradnl"/>
        </w:rPr>
        <w:t>2</w:t>
      </w:r>
      <w:r w:rsidRPr="00FA1B01">
        <w:rPr>
          <w:rFonts w:ascii="Arial" w:eastAsia="Cambria" w:hAnsi="Arial" w:cs="Arial"/>
          <w:b/>
          <w:bCs/>
          <w:lang w:val="es-ES_tradnl"/>
        </w:rPr>
        <w:t>.</w:t>
      </w:r>
      <w:r w:rsidRPr="00FA1B01">
        <w:rPr>
          <w:rFonts w:ascii="Arial" w:eastAsia="Cambria" w:hAnsi="Arial" w:cs="Arial"/>
          <w:lang w:val="es-ES_tradnl"/>
        </w:rPr>
        <w:t xml:space="preserve"> Los alimentos que tengan que incluir las advertencias sanitarias descritas en este artículo, no podrán incorporar declaraciones nutricionales ni declaraciones de salud en su etiqueta.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mbria" w:hAnsi="Arial" w:cs="Arial"/>
          <w:b/>
          <w:bCs/>
          <w:lang w:val="es-ES_tradnl"/>
        </w:rPr>
      </w:pPr>
    </w:p>
    <w:p w:rsidR="002D0E1B" w:rsidRPr="00FA1B01" w:rsidRDefault="002A0907" w:rsidP="00FA1B01">
      <w:pPr>
        <w:spacing w:after="0" w:line="240" w:lineRule="auto"/>
        <w:jc w:val="both"/>
        <w:rPr>
          <w:rFonts w:ascii="Cambria" w:eastAsia="Cambria" w:hAnsi="Cambria" w:cs="Cambria"/>
        </w:rPr>
      </w:pPr>
      <w:r w:rsidRPr="00FA1B01">
        <w:rPr>
          <w:rFonts w:ascii="Arial" w:eastAsia="Cambria" w:hAnsi="Arial" w:cs="Arial"/>
          <w:b/>
          <w:bCs/>
          <w:lang w:val="es-ES_tradnl"/>
        </w:rPr>
        <w:t xml:space="preserve">Parágrafo </w:t>
      </w:r>
      <w:r w:rsidRPr="00FA1B01">
        <w:rPr>
          <w:rFonts w:ascii="Arial" w:eastAsia="Cambria" w:hAnsi="Arial" w:cs="Arial"/>
          <w:b/>
          <w:bCs/>
          <w:lang w:val="es-ES_tradnl"/>
        </w:rPr>
        <w:t>3</w:t>
      </w:r>
      <w:r w:rsidRPr="00FA1B01">
        <w:rPr>
          <w:rFonts w:ascii="Arial" w:eastAsia="Cambria" w:hAnsi="Arial" w:cs="Arial"/>
          <w:b/>
          <w:bCs/>
          <w:lang w:val="es-ES_tradnl"/>
        </w:rPr>
        <w:t>.</w:t>
      </w:r>
      <w:r w:rsidRPr="00FA1B01">
        <w:rPr>
          <w:rFonts w:ascii="Arial" w:eastAsia="Cambria" w:hAnsi="Arial" w:cs="Arial"/>
          <w:lang w:val="es-ES_tradnl"/>
        </w:rPr>
        <w:t xml:space="preserve"> El Ministerio de Salud y P</w:t>
      </w:r>
      <w:r w:rsidRPr="00FA1B01">
        <w:rPr>
          <w:rFonts w:ascii="Arial" w:eastAsia="Cambria" w:hAnsi="Arial" w:cs="Arial"/>
          <w:lang w:val="es-ES_tradnl"/>
        </w:rPr>
        <w:t xml:space="preserve">rotección Social, en un plazo máximo de un año reglamentará las advertencias sanitarias de que trata el presente artículo.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mbria" w:hAnsi="Arial" w:cs="Cambria"/>
          <w:b/>
          <w:bCs/>
          <w:lang w:val="es-ES_tradnl"/>
        </w:rPr>
      </w:pPr>
    </w:p>
    <w:p w:rsidR="002D0E1B" w:rsidRPr="00FA1B01" w:rsidRDefault="002A0907" w:rsidP="00FA1B01">
      <w:pPr>
        <w:spacing w:after="0" w:line="240" w:lineRule="auto"/>
        <w:jc w:val="both"/>
        <w:rPr>
          <w:rFonts w:ascii="Arial" w:eastAsia="Cambria" w:hAnsi="Arial" w:cs="Cambria"/>
          <w:bCs/>
          <w:lang w:val="es-ES_tradnl"/>
        </w:rPr>
      </w:pPr>
      <w:r w:rsidRPr="00FA1B01">
        <w:rPr>
          <w:rFonts w:ascii="Arial" w:eastAsia="Cambria" w:hAnsi="Arial" w:cs="Cambria"/>
          <w:b/>
          <w:bCs/>
          <w:lang w:val="es-ES_tradnl"/>
        </w:rPr>
        <w:t xml:space="preserve">Parágrafo </w:t>
      </w:r>
      <w:r w:rsidRPr="00FA1B01">
        <w:rPr>
          <w:rFonts w:ascii="Arial" w:eastAsia="Cambria" w:hAnsi="Arial" w:cs="Cambria"/>
          <w:b/>
          <w:bCs/>
          <w:lang w:val="es-ES_tradnl"/>
        </w:rPr>
        <w:t>4</w:t>
      </w:r>
      <w:r w:rsidRPr="00FA1B01">
        <w:rPr>
          <w:rFonts w:ascii="Arial" w:eastAsia="Cambria" w:hAnsi="Arial" w:cs="Cambria"/>
          <w:bCs/>
          <w:lang w:val="es-ES_tradnl"/>
        </w:rPr>
        <w:t xml:space="preserve">. El Gobierno podrá incluir en la reglamentación las condiciones para la existencia de un sello positivo de carácter </w:t>
      </w:r>
      <w:r w:rsidRPr="00FA1B01">
        <w:rPr>
          <w:rFonts w:ascii="Arial" w:eastAsia="Cambria" w:hAnsi="Arial" w:cs="Cambria"/>
          <w:bCs/>
          <w:lang w:val="es-ES_tradnl"/>
        </w:rPr>
        <w:t>voluntario, el cual deberá tener formas, colores, figuras, símbolos, textos y ubicación distinta a los sellos de advertencia de que trata el presente artículo, para evitar la confusión de los consumidores. Ningún producto que tenga la obligación de tener l</w:t>
      </w:r>
      <w:r w:rsidRPr="00FA1B01">
        <w:rPr>
          <w:rFonts w:ascii="Arial" w:eastAsia="Cambria" w:hAnsi="Arial" w:cs="Cambria"/>
          <w:bCs/>
          <w:lang w:val="es-ES_tradnl"/>
        </w:rPr>
        <w:t>os sellos de advertencia por exceder el contenido de nutrientes críticos podrá tener simultáneamente el sello positivo.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Artículo 9°. Advertencias sanitarias.</w:t>
      </w:r>
      <w:r w:rsidRPr="00FA1B01">
        <w:rPr>
          <w:rFonts w:ascii="Arial" w:eastAsia="Calibri" w:hAnsi="Arial" w:cs="Times New Roman"/>
        </w:rPr>
        <w:t xml:space="preserve"> Mediante las políticas sanitarias y fitosanitaria establecidas por el Ministerio de Salud y Protección Social, el gobierno nacional deberá garantizar la inocuidad de los productos alimenticios para consumo humano con el fin de evitar la propagación de plagas o enfermedades.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Parágrafo 1.</w:t>
      </w:r>
      <w:r w:rsidRPr="00FA1B01">
        <w:rPr>
          <w:rFonts w:ascii="Arial" w:eastAsia="Calibri" w:hAnsi="Arial" w:cs="Times New Roman"/>
        </w:rPr>
        <w:t xml:space="preserve"> El Instituto Nacional de Vigilancia de Medicamentos y Alimentos - INVIMA, o la entidad que haga sus veces a nivel nacional, deberá verificar los contenidos reportados por el fabricante, toda vez que haya duda sobre el contenido real del producto y los sellos incluidos por éste en el producto, y en caso de comprobar el incumplimiento, procederá a imponer las sanciones de que trata el artículo 577 de la Ley 9 de 1979.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Parágrafo 2.</w:t>
      </w:r>
      <w:r w:rsidRPr="00FA1B01">
        <w:rPr>
          <w:rFonts w:ascii="Arial" w:eastAsia="Calibri" w:hAnsi="Arial" w:cs="Times New Roman"/>
        </w:rPr>
        <w:t xml:space="preserve"> Para la expedición del registro sanitario el INVIMA, o la entidad que haga sus veces deberá contar con certificación internacional de calidad de análisis fisicoquímicos y bromatológicos de alimentos que garanticen la veracidad y confiabilidad de la información reportada.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Artículo 10°. Herramientas pedagógicas de información</w:t>
      </w:r>
      <w:r w:rsidRPr="00FA1B01">
        <w:rPr>
          <w:rFonts w:ascii="Arial" w:eastAsia="Calibri" w:hAnsi="Arial" w:cs="Times New Roman"/>
        </w:rPr>
        <w:t xml:space="preserve">. El Gobierno nacional en cabeza del Ministerio de las Tecnologías de la Información y las Comunicaciones, en coordinación con el Consejo Nacional Intersectorial para la Prevención y Control de las Enfermedades No Transmisibles diseñará herramientas pedagógicas tales como cartillas, páginas web, aplicaciones para dispositivos móviles y demás herramientas que brinden las Tecnologías de la Información y las Comunicaciones (TIC), con información sobre los hábitos de vida saludables, y su adopción, tanto en el entorno educativo como en el laboral, sobre la prevención de las ENT, la necesidad de la población colombiana de practicar actividad física frecuentemente y sobre alimentación balanceada.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Parágrafo 1. </w:t>
      </w:r>
      <w:r w:rsidRPr="00FA1B01">
        <w:rPr>
          <w:rFonts w:ascii="Arial" w:eastAsia="Calibri" w:hAnsi="Arial" w:cs="Times New Roman"/>
        </w:rPr>
        <w:t>En el término de un (1) año a partir de la entrada en vigencia de la presente Ley, El Ministerio de las Tecnologías de la Información y las Comunicaciones en compañía del Consejo Nacional Intersectorial para la Prevención y Control de las Enfermedades No Transmisibles deberán diseñar las herramientas pedagógicas de que trata el presente artículo.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Artículo 11°. Programas de comunicación para la salud en medios de comunicación.</w:t>
      </w:r>
      <w:r w:rsidRPr="00FA1B01">
        <w:rPr>
          <w:rFonts w:ascii="Arial" w:eastAsia="Calibri" w:hAnsi="Arial" w:cs="Times New Roman"/>
        </w:rPr>
        <w:t xml:space="preserve"> </w:t>
      </w:r>
      <w:r w:rsidRPr="00FA1B01">
        <w:rPr>
          <w:rFonts w:ascii="Arial" w:eastAsia="Calibri" w:hAnsi="Arial" w:cs="Arial"/>
        </w:rPr>
        <w:t>La Autoridad Nacional de Televisión - ANTV o quien haga sus veces</w:t>
      </w:r>
      <w:r w:rsidRPr="00FA1B01">
        <w:rPr>
          <w:rFonts w:ascii="Arial" w:eastAsia="Calibri" w:hAnsi="Arial" w:cs="Times New Roman"/>
        </w:rPr>
        <w:t>, en coordinación con El Consejo Nacional Intersectorial para la Prevención y Control de las Enfermedades No Transmisibles, deberán fomentar la emisión de contenidos para la promoción de hábitos de vida saludable y valor nutricional en la franja infantil y familiar en horario triple A (horario AAA) en televisión por los medios ordinarios y canales por suscripción,</w:t>
      </w:r>
      <w:r w:rsidRPr="00FA1B01">
        <w:rPr>
          <w:rFonts w:ascii="Arial" w:eastAsia="Calibri" w:hAnsi="Arial" w:cs="Arial"/>
        </w:rPr>
        <w:t xml:space="preserve"> por parte de las entidades públicas y Organizaciones No Gubernamentales, Asociaciones de Padres de Familia y otras organizaciones de la sociedad civil</w:t>
      </w:r>
      <w:r w:rsidRPr="00FA1B01">
        <w:rPr>
          <w:rFonts w:ascii="Arial" w:eastAsia="Calibri" w:hAnsi="Arial" w:cs="Times New Roman"/>
        </w:rPr>
        <w:t xml:space="preserve">. Asimismo, deberá brindar espacios que garanticen el acceso y la difusión del mismo tipo de mensajes por emisoras radiales y plataformas de internet. Los medios de comunicación en todo espacio publicitario relacionado con los entornos saludables deberán incluir una franja visible o audible que dé cuenta de la información veraz e imparcial que esté dirigida a niños, niñas y adolescentes.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Parágrafo 1.</w:t>
      </w:r>
      <w:r w:rsidRPr="00FA1B01">
        <w:rPr>
          <w:rFonts w:ascii="Arial" w:eastAsia="Calibri" w:hAnsi="Arial" w:cs="Times New Roman"/>
        </w:rPr>
        <w:t xml:space="preserve"> El Ministerio de las Tecnologías de la Información y las Comunicaciones, el Ministerio de Educación Nacional y el Ministerio de Salud y Protección Social o quienes hagan sus veces reglamentarán esta materia.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Artículo 12°: </w:t>
      </w:r>
      <w:r w:rsidRPr="00FA1B01">
        <w:rPr>
          <w:rFonts w:ascii="Arial" w:eastAsia="Calibri" w:hAnsi="Arial" w:cs="Times New Roman"/>
        </w:rPr>
        <w:t xml:space="preserve">Los medios de comunicación fomentarán la emisión de contenidos que promuevan hábitos y alimentación saludable enfocada a niños, niñas y adolescentes.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Parágrafo 1. </w:t>
      </w:r>
      <w:r w:rsidRPr="00FA1B01">
        <w:rPr>
          <w:rFonts w:ascii="Arial" w:eastAsia="Calibri" w:hAnsi="Arial" w:cs="Times New Roman"/>
        </w:rPr>
        <w:t>Toda la política pública relacionada con publicidad de alimentos y promoción de hábitos de vida saludable para el control de las ENT se hará con fundamento en la evidencia científica y salvaguardando el principio fundamental de prevalencia de los derechos de los niños.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FA1B01">
        <w:rPr>
          <w:rFonts w:ascii="Arial" w:eastAsia="Calibri" w:hAnsi="Arial" w:cs="Arial"/>
          <w:b/>
        </w:rPr>
        <w:t>Artículo 13º.</w:t>
      </w:r>
      <w:r w:rsidRPr="00FA1B01">
        <w:rPr>
          <w:rFonts w:ascii="Arial" w:eastAsia="Calibri" w:hAnsi="Arial" w:cs="Arial"/>
        </w:rPr>
        <w:t xml:space="preserve"> </w:t>
      </w:r>
      <w:r w:rsidRPr="00FA1B01">
        <w:rPr>
          <w:rFonts w:ascii="Arial" w:eastAsia="Calibri" w:hAnsi="Arial" w:cs="Arial"/>
          <w:b/>
        </w:rPr>
        <w:t>Veeduría ciudadana</w:t>
      </w:r>
      <w:r w:rsidRPr="00FA1B01">
        <w:rPr>
          <w:rFonts w:ascii="Arial" w:eastAsia="Calibri" w:hAnsi="Arial" w:cs="Arial"/>
        </w:rPr>
        <w:t xml:space="preserve">. Para efectos del seguimiento al cumplimiento de la presente ley, así como de las disposiciones y reglamentaciones posteriores que se relacionen con ella, el Ministerio de Salud y Protección Social promoverá la participación de la sociedad civil, facilitando el ejercicio de la participación ciudadana, el respeto y garantía del derecho a la información y a la comunicación, así como el acceso a la documentación pública requerida en el ejercicio del control social y la veeduría ciudadana. </w:t>
      </w:r>
      <w:r w:rsidRPr="00FA1B01">
        <w:rPr>
          <w:rFonts w:ascii="Arial" w:eastAsia="Calibri" w:hAnsi="Arial" w:cs="Arial"/>
          <w:b/>
        </w:rPr>
        <w:t xml:space="preserve">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Arial"/>
        </w:rPr>
      </w:pPr>
      <w:r w:rsidRPr="00FA1B01">
        <w:rPr>
          <w:rFonts w:ascii="Arial" w:eastAsia="Calibri" w:hAnsi="Arial" w:cs="Arial"/>
          <w:b/>
        </w:rPr>
        <w:t>Artículo 14º.</w:t>
      </w:r>
      <w:r w:rsidRPr="00FA1B01">
        <w:rPr>
          <w:rFonts w:ascii="Arial" w:eastAsia="Calibri" w:hAnsi="Arial" w:cs="Arial"/>
        </w:rPr>
        <w:t xml:space="preserve"> </w:t>
      </w:r>
      <w:r w:rsidRPr="00FA1B01">
        <w:rPr>
          <w:rFonts w:ascii="Arial" w:eastAsia="Calibri" w:hAnsi="Arial" w:cs="Arial"/>
          <w:b/>
        </w:rPr>
        <w:t>Conflictos de intereses</w:t>
      </w:r>
      <w:r w:rsidRPr="00FA1B01">
        <w:rPr>
          <w:rFonts w:ascii="Arial" w:eastAsia="Calibri" w:hAnsi="Arial" w:cs="Arial"/>
        </w:rPr>
        <w:t xml:space="preserve">. En el diseño de herramientas pedagógicas, reglamentación de las sanciones y cualquier otra definición de la política, reglamentación e implementación de esta norma se deberá dar aplicación a lo dispuesto en los artículos 11 y 12 de la Ley 1437 de 2011 y demás </w:t>
      </w:r>
      <w:r w:rsidRPr="00FA1B01">
        <w:rPr>
          <w:rFonts w:ascii="Arial" w:eastAsia="Calibri" w:hAnsi="Arial" w:cs="Arial"/>
        </w:rPr>
        <w:lastRenderedPageBreak/>
        <w:t>normas concordantes en aras de evitar conflictos de intereses que puedan afectar el objetivo de prevención de las ENT.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Artículo 15º. Promoción de modos, condiciones y estilos de vida saludable en el entorno educativo público y privado. </w:t>
      </w:r>
      <w:r w:rsidRPr="00FA1B01">
        <w:rPr>
          <w:rFonts w:ascii="Arial" w:eastAsia="Calibri" w:hAnsi="Arial" w:cs="Times New Roman"/>
        </w:rPr>
        <w:t xml:space="preserve">El Ministerio de Educación Nacional con el apoyo del Ministerio de Salud y Protección Social como órgano rector del Consejo Nacional Intersectorial para la Prevención y Control de las Enfermedades No Transmisibles, propenderá para que en el entorno educativo público y privado se deba: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Garantizar la oferta de alimentos saludables y naturales, mediante el fomento y la implementación de tiendas saludables.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Garantizar el acceso de la comunidad educativa al agua potable en las instituciones.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Fomentar la creación y cuidado de huertas escolares por parte de las instituciones educativas, con el fin de promover en los estudiantes las buenas practicas dentro del cultivo de alimentos.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Fomentar campañas educativas sobre el lavado de manos. 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Los productores de bienes podrán patrocinar y promover campañas de nutrición saludable en lugares de difícil acceso como parte de corresponsabilidad social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Realizar campañas informativas y educativas junto con el Ministerio de Agricultura, incentivando el consumo adecuado de frutas y verduras.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Realizar acciones pedagógicas con los rectores, padres de familias y estudiantes, sobre la alimentación balanceada y saludable. 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Realizar campañas educativas sobre la lectura de etiquetado nutricional.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Calibri" w:hAnsi="Arial" w:cs="Times New Roman"/>
        </w:rPr>
        <w:t xml:space="preserve">Fomentar y fortalecer el papel de la familia en el entorno y hábitos saludables a través de espacios en los medios de comunicación.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Parágrafo 1. </w:t>
      </w:r>
      <w:r w:rsidRPr="00FA1B01">
        <w:rPr>
          <w:rFonts w:ascii="Arial" w:eastAsia="Calibri" w:hAnsi="Arial" w:cs="Times New Roman"/>
        </w:rPr>
        <w:t xml:space="preserve">El Gobierno Nacional a través del Ministerio de Agricultura y Desarrollo Rural, deberá establecer mecanismos para fomentar la producción y comercialización de frutas y verduras, con participación de la empresa privada y los gremios de producción agrícola, y en particular para que estos productos lleguen a centros educativos en todo el territorio nacional.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Parágrafo 2.</w:t>
      </w:r>
      <w:r w:rsidRPr="00FA1B01">
        <w:rPr>
          <w:rFonts w:ascii="Arial" w:eastAsia="Calibri" w:hAnsi="Arial" w:cs="Times New Roman"/>
        </w:rPr>
        <w:t xml:space="preserve"> El Ministerio de Educación Nacional en los Programas de Alimentación Escolar implementará las estrategias de consumo saludable, seguridad alimentaria, acceso a agua potable, prevención de Enfermedades No Transmisibles, fomentará y dará espacio a la implementación de las tiendas escolares saludables en las Instituciones Educativas públicas y privadas.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Parágrafo 3. </w:t>
      </w:r>
      <w:r w:rsidRPr="00FA1B01">
        <w:rPr>
          <w:rFonts w:ascii="Arial" w:eastAsia="Calibri" w:hAnsi="Arial" w:cs="Times New Roman"/>
        </w:rPr>
        <w:t>La función de las tiendas escolares será la provisión de alimentos y productos nutritivos, higiénicamente preparados y a precios accesibles a la comunidad escolar. La tienda escolar debe promover prácticas de alimentación saludable en la comunidad educativa, a través del cumplimiento de condiciones técnicas, de la articulación de estrategias pedagógicas y de procesos que fomenten la promoción de la salud de los estudiantes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Artículo 16° Seguimiento y participación.  </w:t>
      </w:r>
      <w:r w:rsidRPr="00FA1B01">
        <w:rPr>
          <w:rFonts w:ascii="Arial" w:eastAsia="Calibri" w:hAnsi="Arial" w:cs="Times New Roman"/>
        </w:rPr>
        <w:t xml:space="preserve">Para efectos del seguimiento al cumplimiento de la presente ley, así como de las disposiciones y reglamentaciones posteriores que se relacionen con ella, el Ministerio de Salud y Protección Social como órgano rector del Consejo Nacional Intersectorial </w:t>
      </w:r>
      <w:r w:rsidRPr="00FA1B01">
        <w:rPr>
          <w:rFonts w:ascii="Arial" w:eastAsia="Calibri" w:hAnsi="Arial" w:cs="Times New Roman"/>
        </w:rPr>
        <w:lastRenderedPageBreak/>
        <w:t>para la Prevención y Control de las Enfermedades No Transmisibles promoverá la participación de la  familia y la sociedad, facilitando el ejercicio de la participación ciudadana, el seguimiento y la rendición de cuentas, el respeto y garantía del derecho a salud de los niños, niñas y adolescentes así como el acceso a la información y a la comunicación, y a la documentación pública requerida en el ejercicio del control social y la veeduría ciudadana.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Arial"/>
        </w:rPr>
      </w:pPr>
      <w:r w:rsidRPr="00FA1B01">
        <w:rPr>
          <w:rFonts w:ascii="Arial" w:eastAsia="Calibri" w:hAnsi="Arial" w:cs="Arial"/>
          <w:b/>
        </w:rPr>
        <w:t>Artículo 17º.</w:t>
      </w:r>
      <w:r w:rsidRPr="00FA1B01">
        <w:rPr>
          <w:rFonts w:ascii="Arial" w:eastAsia="Calibri" w:hAnsi="Arial" w:cs="Arial"/>
        </w:rPr>
        <w:t xml:space="preserve"> </w:t>
      </w:r>
      <w:r w:rsidRPr="00FA1B01">
        <w:rPr>
          <w:rFonts w:ascii="Arial" w:eastAsia="Calibri" w:hAnsi="Arial" w:cs="Arial"/>
          <w:b/>
        </w:rPr>
        <w:t>Sanciones.</w:t>
      </w:r>
      <w:r w:rsidRPr="00FA1B01">
        <w:rPr>
          <w:rFonts w:ascii="Arial" w:eastAsia="Calibri" w:hAnsi="Arial" w:cs="Arial"/>
        </w:rPr>
        <w:t xml:space="preserve"> El INVIMA sancionarán a cualquier persona que infrinja lo establecido en la presente ley en lo relativo a la implementación del etiquetado y las advertencias sanitarias. La Superintendencia de Industria y Comercio impondrá sanciones ante el incumplimiento en materia de publicidad y violaciones a los derechos de los consumidores.   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>Artículo 18°. Régimen sancionatorio.</w:t>
      </w:r>
      <w:r w:rsidRPr="00FA1B01">
        <w:rPr>
          <w:rFonts w:ascii="Arial" w:eastAsia="Calibri" w:hAnsi="Arial" w:cs="Times New Roman"/>
        </w:rPr>
        <w:t xml:space="preserve"> El incumplimiento de lo establecido la presente ley dará lugar a las sanciones para el ordenamiento jurídico nacional, disciplinario y penal.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Artículo 19° </w:t>
      </w:r>
      <w:r w:rsidRPr="00FA1B01">
        <w:rPr>
          <w:rFonts w:ascii="Arial" w:eastAsia="Calibri" w:hAnsi="Arial" w:cs="Times New Roman"/>
        </w:rPr>
        <w:t>El régimen sancionatorio, autoridades competentes y procedimiento será aplicable de acuerdo con la normatividad vigente en los temas propios de la presente ley.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  <w:r w:rsidRPr="00FA1B01">
        <w:rPr>
          <w:rFonts w:ascii="Arial" w:eastAsia="Arial" w:hAnsi="Arial" w:cs="Arial"/>
          <w:b/>
        </w:rPr>
        <w:t xml:space="preserve">Artículo 20° Vigencia </w:t>
      </w:r>
      <w:r w:rsidRPr="00FA1B01">
        <w:rPr>
          <w:rFonts w:ascii="Arial" w:eastAsia="Calibri" w:hAnsi="Arial" w:cs="Times New Roman"/>
        </w:rPr>
        <w:t>La presente ley entrará en vigencia a partir de su promulgación y deroga las normas que le sean contrarias.</w:t>
      </w: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</w:rPr>
      </w:pPr>
    </w:p>
    <w:p w:rsidR="00FA1B01" w:rsidRPr="00FA1B01" w:rsidRDefault="00FA1B01" w:rsidP="00FA1B01">
      <w:pPr>
        <w:spacing w:after="0" w:line="240" w:lineRule="auto"/>
        <w:jc w:val="both"/>
        <w:rPr>
          <w:rFonts w:ascii="Arial" w:eastAsia="Calibri" w:hAnsi="Arial" w:cs="Times New Roman"/>
          <w:b/>
        </w:rPr>
      </w:pPr>
      <w:r w:rsidRPr="00FA1B01">
        <w:rPr>
          <w:rFonts w:ascii="Arial" w:eastAsia="Calibri" w:hAnsi="Arial" w:cs="Times New Roman"/>
          <w:b/>
        </w:rPr>
        <w:t>Carlos Eduardo Acosta Lozano</w:t>
      </w:r>
      <w:r w:rsidRPr="00FA1B01">
        <w:rPr>
          <w:rFonts w:ascii="Arial" w:eastAsia="Calibri" w:hAnsi="Arial" w:cs="Times New Roman"/>
          <w:b/>
        </w:rPr>
        <w:tab/>
      </w:r>
      <w:r w:rsidRPr="00FA1B01">
        <w:rPr>
          <w:rFonts w:ascii="Arial" w:eastAsia="Calibri" w:hAnsi="Arial" w:cs="Times New Roman"/>
          <w:b/>
        </w:rPr>
        <w:tab/>
      </w:r>
      <w:r w:rsidRPr="00FA1B01">
        <w:rPr>
          <w:rFonts w:ascii="Arial" w:eastAsia="Calibri" w:hAnsi="Arial" w:cs="Times New Roman"/>
          <w:b/>
        </w:rPr>
        <w:tab/>
      </w:r>
      <w:r w:rsidRPr="00FA1B01">
        <w:rPr>
          <w:rFonts w:ascii="Arial" w:eastAsia="Calibri" w:hAnsi="Arial" w:cs="Times New Roman"/>
          <w:b/>
        </w:rPr>
        <w:tab/>
        <w:t>Mauricio Andrés Toro Orjuela</w:t>
      </w:r>
    </w:p>
    <w:p w:rsidR="00437400" w:rsidRPr="00FA1B01" w:rsidRDefault="00FA1B01" w:rsidP="00FA1B01">
      <w:pPr>
        <w:pStyle w:val="Sinespaciado"/>
        <w:rPr>
          <w:rFonts w:ascii="Arial" w:hAnsi="Arial" w:cs="Arial"/>
          <w:sz w:val="21"/>
          <w:szCs w:val="21"/>
          <w:highlight w:val="yellow"/>
        </w:rPr>
      </w:pPr>
      <w:r w:rsidRPr="00FA1B01">
        <w:rPr>
          <w:rFonts w:ascii="Arial" w:eastAsia="Calibri" w:hAnsi="Arial" w:cs="Arial"/>
        </w:rPr>
        <w:t>Coordinador Ponente</w:t>
      </w:r>
      <w:r w:rsidRPr="00FA1B01">
        <w:rPr>
          <w:rFonts w:ascii="Arial" w:eastAsia="Calibri" w:hAnsi="Arial" w:cs="Arial"/>
        </w:rPr>
        <w:tab/>
      </w:r>
      <w:r w:rsidRPr="00FA1B01">
        <w:rPr>
          <w:rFonts w:ascii="Arial" w:eastAsia="Calibri" w:hAnsi="Arial" w:cs="Arial"/>
        </w:rPr>
        <w:tab/>
      </w:r>
      <w:r w:rsidRPr="00FA1B01">
        <w:rPr>
          <w:rFonts w:ascii="Arial" w:eastAsia="Calibri" w:hAnsi="Arial" w:cs="Arial"/>
        </w:rPr>
        <w:tab/>
      </w:r>
      <w:r w:rsidRPr="00FA1B01">
        <w:rPr>
          <w:rFonts w:ascii="Arial" w:eastAsia="Calibri" w:hAnsi="Arial" w:cs="Arial"/>
        </w:rPr>
        <w:tab/>
      </w:r>
      <w:r w:rsidRPr="00FA1B01">
        <w:rPr>
          <w:rFonts w:ascii="Arial" w:eastAsia="Calibri" w:hAnsi="Arial" w:cs="Arial"/>
        </w:rPr>
        <w:tab/>
      </w:r>
      <w:r w:rsidRPr="00FA1B01">
        <w:rPr>
          <w:rFonts w:ascii="Arial" w:eastAsia="Calibri" w:hAnsi="Arial" w:cs="Arial"/>
        </w:rPr>
        <w:tab/>
        <w:t>Pon</w:t>
      </w:r>
      <w:bookmarkStart w:id="0" w:name="_GoBack"/>
      <w:bookmarkEnd w:id="0"/>
      <w:r w:rsidRPr="00FA1B01">
        <w:rPr>
          <w:rFonts w:ascii="Arial" w:eastAsia="Calibri" w:hAnsi="Arial" w:cs="Arial"/>
        </w:rPr>
        <w:t>ente</w:t>
      </w:r>
    </w:p>
    <w:sectPr w:rsidR="00437400" w:rsidRPr="00FA1B01" w:rsidSect="000D2D90">
      <w:headerReference w:type="default" r:id="rId8"/>
      <w:footerReference w:type="default" r:id="rId9"/>
      <w:pgSz w:w="12240" w:h="15840" w:code="1"/>
      <w:pgMar w:top="1814" w:right="907" w:bottom="284" w:left="147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10C" w:rsidRDefault="0024610C" w:rsidP="001A75AA">
      <w:pPr>
        <w:spacing w:after="0" w:line="240" w:lineRule="auto"/>
      </w:pPr>
      <w:r>
        <w:separator/>
      </w:r>
    </w:p>
  </w:endnote>
  <w:endnote w:type="continuationSeparator" w:id="0">
    <w:p w:rsidR="0024610C" w:rsidRDefault="0024610C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Piedepgina"/>
      <w:jc w:val="right"/>
    </w:pPr>
  </w:p>
  <w:p w:rsidR="00461A25" w:rsidRDefault="00461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10C" w:rsidRDefault="0024610C" w:rsidP="001A75AA">
      <w:pPr>
        <w:spacing w:after="0" w:line="240" w:lineRule="auto"/>
      </w:pPr>
      <w:r>
        <w:separator/>
      </w:r>
    </w:p>
  </w:footnote>
  <w:footnote w:type="continuationSeparator" w:id="0">
    <w:p w:rsidR="0024610C" w:rsidRDefault="0024610C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margin">
            <wp:align>center</wp:align>
          </wp:positionH>
          <wp:positionV relativeFrom="paragraph">
            <wp:posOffset>-269647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349"/>
    <w:multiLevelType w:val="hybridMultilevel"/>
    <w:tmpl w:val="F6B879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5FC3"/>
    <w:multiLevelType w:val="hybridMultilevel"/>
    <w:tmpl w:val="6A547166"/>
    <w:lvl w:ilvl="0" w:tplc="E29AD9F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6D377A"/>
    <w:multiLevelType w:val="hybridMultilevel"/>
    <w:tmpl w:val="8E20F2E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67BC"/>
    <w:multiLevelType w:val="hybridMultilevel"/>
    <w:tmpl w:val="E278ADF4"/>
    <w:lvl w:ilvl="0" w:tplc="C736EB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E0240"/>
    <w:multiLevelType w:val="hybridMultilevel"/>
    <w:tmpl w:val="B11E45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52CEA"/>
    <w:multiLevelType w:val="hybridMultilevel"/>
    <w:tmpl w:val="9C6091F8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73660"/>
    <w:multiLevelType w:val="hybridMultilevel"/>
    <w:tmpl w:val="8AB010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1FBF"/>
    <w:multiLevelType w:val="hybridMultilevel"/>
    <w:tmpl w:val="3D961F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05069"/>
    <w:multiLevelType w:val="hybridMultilevel"/>
    <w:tmpl w:val="B2760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F2182"/>
    <w:multiLevelType w:val="hybridMultilevel"/>
    <w:tmpl w:val="B2342CC0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423B"/>
    <w:multiLevelType w:val="hybridMultilevel"/>
    <w:tmpl w:val="D0CCA7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900BC"/>
    <w:multiLevelType w:val="hybridMultilevel"/>
    <w:tmpl w:val="B16863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87AA6"/>
    <w:multiLevelType w:val="hybridMultilevel"/>
    <w:tmpl w:val="25DCD36C"/>
    <w:lvl w:ilvl="0" w:tplc="48AC46C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C2A78"/>
    <w:multiLevelType w:val="hybridMultilevel"/>
    <w:tmpl w:val="3E14D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26C74"/>
    <w:multiLevelType w:val="hybridMultilevel"/>
    <w:tmpl w:val="0BA06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247EC"/>
    <w:multiLevelType w:val="hybridMultilevel"/>
    <w:tmpl w:val="59523B8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D426F"/>
    <w:multiLevelType w:val="hybridMultilevel"/>
    <w:tmpl w:val="8C18F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73E20"/>
    <w:multiLevelType w:val="hybridMultilevel"/>
    <w:tmpl w:val="491E5BE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B77B0"/>
    <w:multiLevelType w:val="hybridMultilevel"/>
    <w:tmpl w:val="5BE03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00E40"/>
    <w:multiLevelType w:val="hybridMultilevel"/>
    <w:tmpl w:val="1D36FC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268B7"/>
    <w:multiLevelType w:val="hybridMultilevel"/>
    <w:tmpl w:val="F516FA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37D4B"/>
    <w:multiLevelType w:val="hybridMultilevel"/>
    <w:tmpl w:val="117E95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E751C"/>
    <w:multiLevelType w:val="hybridMultilevel"/>
    <w:tmpl w:val="FBB61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3D786E38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B054A"/>
    <w:multiLevelType w:val="hybridMultilevel"/>
    <w:tmpl w:val="3578C2F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E65BF"/>
    <w:multiLevelType w:val="hybridMultilevel"/>
    <w:tmpl w:val="21A624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65510"/>
    <w:multiLevelType w:val="hybridMultilevel"/>
    <w:tmpl w:val="2BB62B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76DEA"/>
    <w:multiLevelType w:val="hybridMultilevel"/>
    <w:tmpl w:val="14566958"/>
    <w:lvl w:ilvl="0" w:tplc="AD681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76279"/>
    <w:multiLevelType w:val="hybridMultilevel"/>
    <w:tmpl w:val="2A263E94"/>
    <w:lvl w:ilvl="0" w:tplc="76A4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10"/>
  </w:num>
  <w:num w:numId="5">
    <w:abstractNumId w:val="0"/>
  </w:num>
  <w:num w:numId="6">
    <w:abstractNumId w:val="13"/>
  </w:num>
  <w:num w:numId="7">
    <w:abstractNumId w:val="27"/>
  </w:num>
  <w:num w:numId="8">
    <w:abstractNumId w:val="4"/>
  </w:num>
  <w:num w:numId="9">
    <w:abstractNumId w:val="3"/>
  </w:num>
  <w:num w:numId="10">
    <w:abstractNumId w:val="20"/>
  </w:num>
  <w:num w:numId="11">
    <w:abstractNumId w:val="25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24"/>
  </w:num>
  <w:num w:numId="17">
    <w:abstractNumId w:val="16"/>
  </w:num>
  <w:num w:numId="18">
    <w:abstractNumId w:val="14"/>
  </w:num>
  <w:num w:numId="19">
    <w:abstractNumId w:val="19"/>
  </w:num>
  <w:num w:numId="20">
    <w:abstractNumId w:val="26"/>
  </w:num>
  <w:num w:numId="21">
    <w:abstractNumId w:val="1"/>
  </w:num>
  <w:num w:numId="22">
    <w:abstractNumId w:val="9"/>
  </w:num>
  <w:num w:numId="23">
    <w:abstractNumId w:val="5"/>
  </w:num>
  <w:num w:numId="24">
    <w:abstractNumId w:val="18"/>
  </w:num>
  <w:num w:numId="25">
    <w:abstractNumId w:val="12"/>
  </w:num>
  <w:num w:numId="26">
    <w:abstractNumId w:val="17"/>
  </w:num>
  <w:num w:numId="27">
    <w:abstractNumId w:val="21"/>
  </w:num>
  <w:num w:numId="28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69C7"/>
    <w:rsid w:val="000076E1"/>
    <w:rsid w:val="00017793"/>
    <w:rsid w:val="00021E24"/>
    <w:rsid w:val="00021ED0"/>
    <w:rsid w:val="0002559F"/>
    <w:rsid w:val="00026637"/>
    <w:rsid w:val="00027A7C"/>
    <w:rsid w:val="00044901"/>
    <w:rsid w:val="00045135"/>
    <w:rsid w:val="00047FB1"/>
    <w:rsid w:val="00050B7F"/>
    <w:rsid w:val="000512BC"/>
    <w:rsid w:val="00052081"/>
    <w:rsid w:val="00053857"/>
    <w:rsid w:val="0005764D"/>
    <w:rsid w:val="00061172"/>
    <w:rsid w:val="00062D9C"/>
    <w:rsid w:val="00063138"/>
    <w:rsid w:val="0006405F"/>
    <w:rsid w:val="00065EC1"/>
    <w:rsid w:val="00075E9A"/>
    <w:rsid w:val="00080475"/>
    <w:rsid w:val="000850AF"/>
    <w:rsid w:val="00087E7C"/>
    <w:rsid w:val="000911A5"/>
    <w:rsid w:val="00091304"/>
    <w:rsid w:val="00091500"/>
    <w:rsid w:val="00093284"/>
    <w:rsid w:val="000958D4"/>
    <w:rsid w:val="000971B7"/>
    <w:rsid w:val="000A3D97"/>
    <w:rsid w:val="000B047D"/>
    <w:rsid w:val="000B41A9"/>
    <w:rsid w:val="000B5E53"/>
    <w:rsid w:val="000B7E47"/>
    <w:rsid w:val="000C69AC"/>
    <w:rsid w:val="000D2D90"/>
    <w:rsid w:val="000D2E8E"/>
    <w:rsid w:val="000E511E"/>
    <w:rsid w:val="00101CEA"/>
    <w:rsid w:val="00102759"/>
    <w:rsid w:val="001038E6"/>
    <w:rsid w:val="001104F2"/>
    <w:rsid w:val="00110B0B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5635A"/>
    <w:rsid w:val="0016267E"/>
    <w:rsid w:val="00166919"/>
    <w:rsid w:val="00170A3E"/>
    <w:rsid w:val="00176D9E"/>
    <w:rsid w:val="0017734E"/>
    <w:rsid w:val="001858C5"/>
    <w:rsid w:val="0018610E"/>
    <w:rsid w:val="00193FCF"/>
    <w:rsid w:val="001A0BCD"/>
    <w:rsid w:val="001A5423"/>
    <w:rsid w:val="001A671F"/>
    <w:rsid w:val="001A71EF"/>
    <w:rsid w:val="001A75AA"/>
    <w:rsid w:val="001B1EBA"/>
    <w:rsid w:val="001B749C"/>
    <w:rsid w:val="001C239C"/>
    <w:rsid w:val="001C7B89"/>
    <w:rsid w:val="001D6579"/>
    <w:rsid w:val="001D7E11"/>
    <w:rsid w:val="001E27BF"/>
    <w:rsid w:val="001F0B99"/>
    <w:rsid w:val="00200519"/>
    <w:rsid w:val="00201497"/>
    <w:rsid w:val="00203ACE"/>
    <w:rsid w:val="00204D6B"/>
    <w:rsid w:val="00207968"/>
    <w:rsid w:val="002119E3"/>
    <w:rsid w:val="002126FF"/>
    <w:rsid w:val="0021331D"/>
    <w:rsid w:val="002147E9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610C"/>
    <w:rsid w:val="00247B5D"/>
    <w:rsid w:val="002539DF"/>
    <w:rsid w:val="00260176"/>
    <w:rsid w:val="0026283E"/>
    <w:rsid w:val="002715BD"/>
    <w:rsid w:val="002717D1"/>
    <w:rsid w:val="00273CDE"/>
    <w:rsid w:val="00273FD2"/>
    <w:rsid w:val="00276D9F"/>
    <w:rsid w:val="00282D98"/>
    <w:rsid w:val="0028641D"/>
    <w:rsid w:val="00295486"/>
    <w:rsid w:val="00297711"/>
    <w:rsid w:val="002A1867"/>
    <w:rsid w:val="002A37AF"/>
    <w:rsid w:val="002A42AF"/>
    <w:rsid w:val="002A452B"/>
    <w:rsid w:val="002B0710"/>
    <w:rsid w:val="002B3498"/>
    <w:rsid w:val="002C2ED1"/>
    <w:rsid w:val="002C4D01"/>
    <w:rsid w:val="002D21E8"/>
    <w:rsid w:val="002D7ECC"/>
    <w:rsid w:val="002E4DA2"/>
    <w:rsid w:val="002E5D0F"/>
    <w:rsid w:val="002F5FB4"/>
    <w:rsid w:val="002F7D2B"/>
    <w:rsid w:val="00305108"/>
    <w:rsid w:val="003124F4"/>
    <w:rsid w:val="0031513C"/>
    <w:rsid w:val="0032258F"/>
    <w:rsid w:val="0034020B"/>
    <w:rsid w:val="00341B2A"/>
    <w:rsid w:val="003454EC"/>
    <w:rsid w:val="00345666"/>
    <w:rsid w:val="00353CE9"/>
    <w:rsid w:val="00357FF3"/>
    <w:rsid w:val="00360ABC"/>
    <w:rsid w:val="00361F45"/>
    <w:rsid w:val="00364C76"/>
    <w:rsid w:val="003725E7"/>
    <w:rsid w:val="00373397"/>
    <w:rsid w:val="003765E4"/>
    <w:rsid w:val="00383C8B"/>
    <w:rsid w:val="00391812"/>
    <w:rsid w:val="003A01C5"/>
    <w:rsid w:val="003A26FB"/>
    <w:rsid w:val="003A4DEC"/>
    <w:rsid w:val="003A6AE5"/>
    <w:rsid w:val="003B0F5C"/>
    <w:rsid w:val="003B2C8F"/>
    <w:rsid w:val="003B359B"/>
    <w:rsid w:val="003B3EBB"/>
    <w:rsid w:val="003B50C1"/>
    <w:rsid w:val="003C0DF5"/>
    <w:rsid w:val="003C2A93"/>
    <w:rsid w:val="003C3E07"/>
    <w:rsid w:val="003D161F"/>
    <w:rsid w:val="003D1A97"/>
    <w:rsid w:val="003D3D21"/>
    <w:rsid w:val="003D7516"/>
    <w:rsid w:val="003D7EC1"/>
    <w:rsid w:val="003E193F"/>
    <w:rsid w:val="003E215A"/>
    <w:rsid w:val="003E3BD9"/>
    <w:rsid w:val="003E4343"/>
    <w:rsid w:val="003E5F08"/>
    <w:rsid w:val="003F0BA6"/>
    <w:rsid w:val="003F262C"/>
    <w:rsid w:val="003F43C3"/>
    <w:rsid w:val="003F538E"/>
    <w:rsid w:val="00400978"/>
    <w:rsid w:val="00402816"/>
    <w:rsid w:val="00403495"/>
    <w:rsid w:val="00406CDB"/>
    <w:rsid w:val="0040798F"/>
    <w:rsid w:val="00414583"/>
    <w:rsid w:val="004201B0"/>
    <w:rsid w:val="004239FC"/>
    <w:rsid w:val="00427AA0"/>
    <w:rsid w:val="00434121"/>
    <w:rsid w:val="00434D29"/>
    <w:rsid w:val="0043534F"/>
    <w:rsid w:val="00435828"/>
    <w:rsid w:val="004369F9"/>
    <w:rsid w:val="00437400"/>
    <w:rsid w:val="00441109"/>
    <w:rsid w:val="004431E9"/>
    <w:rsid w:val="00445302"/>
    <w:rsid w:val="004462C8"/>
    <w:rsid w:val="00447E4E"/>
    <w:rsid w:val="00460A7A"/>
    <w:rsid w:val="00461494"/>
    <w:rsid w:val="00461A25"/>
    <w:rsid w:val="00465953"/>
    <w:rsid w:val="004704C6"/>
    <w:rsid w:val="00470B1E"/>
    <w:rsid w:val="0047227F"/>
    <w:rsid w:val="00476F8D"/>
    <w:rsid w:val="00480F35"/>
    <w:rsid w:val="00480FB5"/>
    <w:rsid w:val="0048114C"/>
    <w:rsid w:val="00484FBF"/>
    <w:rsid w:val="0048518F"/>
    <w:rsid w:val="00487799"/>
    <w:rsid w:val="00494A18"/>
    <w:rsid w:val="004A1D04"/>
    <w:rsid w:val="004A2006"/>
    <w:rsid w:val="004A4C6F"/>
    <w:rsid w:val="004B0683"/>
    <w:rsid w:val="004B1160"/>
    <w:rsid w:val="004B4719"/>
    <w:rsid w:val="004B47F9"/>
    <w:rsid w:val="004B7885"/>
    <w:rsid w:val="004C3501"/>
    <w:rsid w:val="004C50F6"/>
    <w:rsid w:val="004E04C3"/>
    <w:rsid w:val="004E674B"/>
    <w:rsid w:val="004E71FD"/>
    <w:rsid w:val="004E7DF6"/>
    <w:rsid w:val="004F1CE6"/>
    <w:rsid w:val="004F215A"/>
    <w:rsid w:val="004F4B33"/>
    <w:rsid w:val="0051179B"/>
    <w:rsid w:val="00513432"/>
    <w:rsid w:val="005175EF"/>
    <w:rsid w:val="00523669"/>
    <w:rsid w:val="005265D3"/>
    <w:rsid w:val="00527551"/>
    <w:rsid w:val="005301F9"/>
    <w:rsid w:val="00533418"/>
    <w:rsid w:val="0054196F"/>
    <w:rsid w:val="00544B3B"/>
    <w:rsid w:val="00544B41"/>
    <w:rsid w:val="005473D7"/>
    <w:rsid w:val="00553452"/>
    <w:rsid w:val="0055369D"/>
    <w:rsid w:val="0055410E"/>
    <w:rsid w:val="0055570A"/>
    <w:rsid w:val="00556F17"/>
    <w:rsid w:val="00566078"/>
    <w:rsid w:val="00566ED4"/>
    <w:rsid w:val="00570637"/>
    <w:rsid w:val="00571058"/>
    <w:rsid w:val="005721DD"/>
    <w:rsid w:val="00580751"/>
    <w:rsid w:val="005835FD"/>
    <w:rsid w:val="00583B23"/>
    <w:rsid w:val="00586945"/>
    <w:rsid w:val="00587D45"/>
    <w:rsid w:val="00593781"/>
    <w:rsid w:val="00594EE6"/>
    <w:rsid w:val="00595842"/>
    <w:rsid w:val="00597777"/>
    <w:rsid w:val="005A305D"/>
    <w:rsid w:val="005B29EB"/>
    <w:rsid w:val="005B57AE"/>
    <w:rsid w:val="005C0101"/>
    <w:rsid w:val="005C265D"/>
    <w:rsid w:val="005C46B5"/>
    <w:rsid w:val="005C6DC9"/>
    <w:rsid w:val="005D30B8"/>
    <w:rsid w:val="005D30D6"/>
    <w:rsid w:val="005D3575"/>
    <w:rsid w:val="005D4E38"/>
    <w:rsid w:val="005E12DE"/>
    <w:rsid w:val="005E46E7"/>
    <w:rsid w:val="005F2C9B"/>
    <w:rsid w:val="005F4DFF"/>
    <w:rsid w:val="00607AA3"/>
    <w:rsid w:val="0061264E"/>
    <w:rsid w:val="00613B02"/>
    <w:rsid w:val="00622B3F"/>
    <w:rsid w:val="00622B74"/>
    <w:rsid w:val="006276D2"/>
    <w:rsid w:val="0063155D"/>
    <w:rsid w:val="0063371C"/>
    <w:rsid w:val="00637559"/>
    <w:rsid w:val="00645C61"/>
    <w:rsid w:val="00653F2B"/>
    <w:rsid w:val="006655C2"/>
    <w:rsid w:val="00667394"/>
    <w:rsid w:val="00670DED"/>
    <w:rsid w:val="00671BC3"/>
    <w:rsid w:val="0067641B"/>
    <w:rsid w:val="00677FDE"/>
    <w:rsid w:val="00681AE7"/>
    <w:rsid w:val="00681C48"/>
    <w:rsid w:val="006842D0"/>
    <w:rsid w:val="006846A0"/>
    <w:rsid w:val="006904B4"/>
    <w:rsid w:val="00695983"/>
    <w:rsid w:val="00697FF4"/>
    <w:rsid w:val="006A06BA"/>
    <w:rsid w:val="006A0D57"/>
    <w:rsid w:val="006B0801"/>
    <w:rsid w:val="006B2B87"/>
    <w:rsid w:val="006B40AC"/>
    <w:rsid w:val="006B757E"/>
    <w:rsid w:val="006C2A67"/>
    <w:rsid w:val="006C302E"/>
    <w:rsid w:val="006C370B"/>
    <w:rsid w:val="006C5489"/>
    <w:rsid w:val="006D0B3A"/>
    <w:rsid w:val="006D20DB"/>
    <w:rsid w:val="006D3C55"/>
    <w:rsid w:val="006E177A"/>
    <w:rsid w:val="006E1D47"/>
    <w:rsid w:val="006E441E"/>
    <w:rsid w:val="006F021B"/>
    <w:rsid w:val="006F38A8"/>
    <w:rsid w:val="00713DC0"/>
    <w:rsid w:val="00716397"/>
    <w:rsid w:val="007167A5"/>
    <w:rsid w:val="00720ABC"/>
    <w:rsid w:val="00740BB6"/>
    <w:rsid w:val="00741569"/>
    <w:rsid w:val="00743F79"/>
    <w:rsid w:val="007446C5"/>
    <w:rsid w:val="00752B55"/>
    <w:rsid w:val="0076487F"/>
    <w:rsid w:val="00765D2D"/>
    <w:rsid w:val="00766F75"/>
    <w:rsid w:val="00772861"/>
    <w:rsid w:val="00777E62"/>
    <w:rsid w:val="00781900"/>
    <w:rsid w:val="0078393C"/>
    <w:rsid w:val="00783FF1"/>
    <w:rsid w:val="0078793C"/>
    <w:rsid w:val="0079437A"/>
    <w:rsid w:val="00796C52"/>
    <w:rsid w:val="007B03BB"/>
    <w:rsid w:val="007B07A2"/>
    <w:rsid w:val="007B15C8"/>
    <w:rsid w:val="007B390C"/>
    <w:rsid w:val="007B419E"/>
    <w:rsid w:val="007C58E7"/>
    <w:rsid w:val="007D2527"/>
    <w:rsid w:val="007D43C4"/>
    <w:rsid w:val="007D582E"/>
    <w:rsid w:val="007E024C"/>
    <w:rsid w:val="007E0D32"/>
    <w:rsid w:val="007F0C2F"/>
    <w:rsid w:val="007F223F"/>
    <w:rsid w:val="007F2A05"/>
    <w:rsid w:val="007F42F4"/>
    <w:rsid w:val="0080478F"/>
    <w:rsid w:val="008054C2"/>
    <w:rsid w:val="00807628"/>
    <w:rsid w:val="00813DA1"/>
    <w:rsid w:val="008246B5"/>
    <w:rsid w:val="008255F9"/>
    <w:rsid w:val="00830953"/>
    <w:rsid w:val="00832188"/>
    <w:rsid w:val="00832CEA"/>
    <w:rsid w:val="0084115C"/>
    <w:rsid w:val="0084327F"/>
    <w:rsid w:val="00845B12"/>
    <w:rsid w:val="00850075"/>
    <w:rsid w:val="008624E2"/>
    <w:rsid w:val="00862916"/>
    <w:rsid w:val="008646A7"/>
    <w:rsid w:val="00865455"/>
    <w:rsid w:val="00867570"/>
    <w:rsid w:val="00867625"/>
    <w:rsid w:val="0087202E"/>
    <w:rsid w:val="00872FE3"/>
    <w:rsid w:val="00885EEE"/>
    <w:rsid w:val="0088732B"/>
    <w:rsid w:val="00890AB9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248"/>
    <w:rsid w:val="008C6F0D"/>
    <w:rsid w:val="008D61E0"/>
    <w:rsid w:val="008E049D"/>
    <w:rsid w:val="008E0963"/>
    <w:rsid w:val="008E331F"/>
    <w:rsid w:val="008E60F0"/>
    <w:rsid w:val="008E63C3"/>
    <w:rsid w:val="008F2522"/>
    <w:rsid w:val="008F4264"/>
    <w:rsid w:val="008F4687"/>
    <w:rsid w:val="00900587"/>
    <w:rsid w:val="00900E3B"/>
    <w:rsid w:val="009120F5"/>
    <w:rsid w:val="0092131B"/>
    <w:rsid w:val="0092191E"/>
    <w:rsid w:val="00923085"/>
    <w:rsid w:val="00923C23"/>
    <w:rsid w:val="00925C03"/>
    <w:rsid w:val="009277E9"/>
    <w:rsid w:val="00931867"/>
    <w:rsid w:val="00935879"/>
    <w:rsid w:val="00940610"/>
    <w:rsid w:val="00942EC8"/>
    <w:rsid w:val="00945341"/>
    <w:rsid w:val="00963451"/>
    <w:rsid w:val="00963D5C"/>
    <w:rsid w:val="009660EF"/>
    <w:rsid w:val="00967BA7"/>
    <w:rsid w:val="009711F9"/>
    <w:rsid w:val="00972DF0"/>
    <w:rsid w:val="00976AEB"/>
    <w:rsid w:val="00977842"/>
    <w:rsid w:val="00981CC9"/>
    <w:rsid w:val="0098219B"/>
    <w:rsid w:val="009828E1"/>
    <w:rsid w:val="009854E8"/>
    <w:rsid w:val="00985E6B"/>
    <w:rsid w:val="00990D89"/>
    <w:rsid w:val="00994041"/>
    <w:rsid w:val="009A0AAB"/>
    <w:rsid w:val="009A3159"/>
    <w:rsid w:val="009B3E43"/>
    <w:rsid w:val="009C1657"/>
    <w:rsid w:val="009C42ED"/>
    <w:rsid w:val="009C714F"/>
    <w:rsid w:val="009C7782"/>
    <w:rsid w:val="009D3CE0"/>
    <w:rsid w:val="009D422E"/>
    <w:rsid w:val="009D43DE"/>
    <w:rsid w:val="009D6D67"/>
    <w:rsid w:val="009E52D9"/>
    <w:rsid w:val="009F068A"/>
    <w:rsid w:val="009F2514"/>
    <w:rsid w:val="009F7BF3"/>
    <w:rsid w:val="00A05691"/>
    <w:rsid w:val="00A17124"/>
    <w:rsid w:val="00A20232"/>
    <w:rsid w:val="00A20FB3"/>
    <w:rsid w:val="00A223A5"/>
    <w:rsid w:val="00A24B2C"/>
    <w:rsid w:val="00A26683"/>
    <w:rsid w:val="00A32626"/>
    <w:rsid w:val="00A3797C"/>
    <w:rsid w:val="00A466E2"/>
    <w:rsid w:val="00A46B04"/>
    <w:rsid w:val="00A4736E"/>
    <w:rsid w:val="00A52153"/>
    <w:rsid w:val="00A5385F"/>
    <w:rsid w:val="00A55B53"/>
    <w:rsid w:val="00A63400"/>
    <w:rsid w:val="00A644EA"/>
    <w:rsid w:val="00A66C8B"/>
    <w:rsid w:val="00A738C2"/>
    <w:rsid w:val="00A739BC"/>
    <w:rsid w:val="00A74D8C"/>
    <w:rsid w:val="00A7616B"/>
    <w:rsid w:val="00A76565"/>
    <w:rsid w:val="00A769D4"/>
    <w:rsid w:val="00A76CEC"/>
    <w:rsid w:val="00A76ED5"/>
    <w:rsid w:val="00A8229E"/>
    <w:rsid w:val="00A908E5"/>
    <w:rsid w:val="00A92671"/>
    <w:rsid w:val="00A9451E"/>
    <w:rsid w:val="00AA3B73"/>
    <w:rsid w:val="00AA7C24"/>
    <w:rsid w:val="00AB10D9"/>
    <w:rsid w:val="00AB1FB4"/>
    <w:rsid w:val="00AB4143"/>
    <w:rsid w:val="00AC5DB8"/>
    <w:rsid w:val="00AD05D9"/>
    <w:rsid w:val="00AD580C"/>
    <w:rsid w:val="00AE5DE7"/>
    <w:rsid w:val="00AF3851"/>
    <w:rsid w:val="00AF6350"/>
    <w:rsid w:val="00B02E63"/>
    <w:rsid w:val="00B21427"/>
    <w:rsid w:val="00B22FF2"/>
    <w:rsid w:val="00B24137"/>
    <w:rsid w:val="00B241A5"/>
    <w:rsid w:val="00B275D0"/>
    <w:rsid w:val="00B36771"/>
    <w:rsid w:val="00B36A62"/>
    <w:rsid w:val="00B41782"/>
    <w:rsid w:val="00B4638B"/>
    <w:rsid w:val="00B530F5"/>
    <w:rsid w:val="00B54620"/>
    <w:rsid w:val="00B60098"/>
    <w:rsid w:val="00B6307C"/>
    <w:rsid w:val="00B63B0A"/>
    <w:rsid w:val="00B6771D"/>
    <w:rsid w:val="00B77BA5"/>
    <w:rsid w:val="00B85891"/>
    <w:rsid w:val="00B90F27"/>
    <w:rsid w:val="00B943BF"/>
    <w:rsid w:val="00B94E5B"/>
    <w:rsid w:val="00BA02B8"/>
    <w:rsid w:val="00BA5448"/>
    <w:rsid w:val="00BB0EC1"/>
    <w:rsid w:val="00BD15BA"/>
    <w:rsid w:val="00BD516F"/>
    <w:rsid w:val="00BD647E"/>
    <w:rsid w:val="00BE5C7C"/>
    <w:rsid w:val="00BF03AD"/>
    <w:rsid w:val="00BF5904"/>
    <w:rsid w:val="00BF7A2D"/>
    <w:rsid w:val="00C05730"/>
    <w:rsid w:val="00C068A7"/>
    <w:rsid w:val="00C07581"/>
    <w:rsid w:val="00C20502"/>
    <w:rsid w:val="00C22950"/>
    <w:rsid w:val="00C2324D"/>
    <w:rsid w:val="00C340A7"/>
    <w:rsid w:val="00C36122"/>
    <w:rsid w:val="00C41920"/>
    <w:rsid w:val="00C427DD"/>
    <w:rsid w:val="00C43F87"/>
    <w:rsid w:val="00C525EA"/>
    <w:rsid w:val="00C54F74"/>
    <w:rsid w:val="00C54FD9"/>
    <w:rsid w:val="00C55F1A"/>
    <w:rsid w:val="00C567AB"/>
    <w:rsid w:val="00C719AD"/>
    <w:rsid w:val="00C7665C"/>
    <w:rsid w:val="00C8653A"/>
    <w:rsid w:val="00C91073"/>
    <w:rsid w:val="00C910BE"/>
    <w:rsid w:val="00C91C15"/>
    <w:rsid w:val="00C92567"/>
    <w:rsid w:val="00C930F7"/>
    <w:rsid w:val="00C97A5C"/>
    <w:rsid w:val="00CA7AA4"/>
    <w:rsid w:val="00CB0B25"/>
    <w:rsid w:val="00CB1F7C"/>
    <w:rsid w:val="00CB2A85"/>
    <w:rsid w:val="00CB4C8E"/>
    <w:rsid w:val="00CB575F"/>
    <w:rsid w:val="00CC253D"/>
    <w:rsid w:val="00CD0A9B"/>
    <w:rsid w:val="00CE344D"/>
    <w:rsid w:val="00CE34C9"/>
    <w:rsid w:val="00CE5396"/>
    <w:rsid w:val="00CE617B"/>
    <w:rsid w:val="00CF1641"/>
    <w:rsid w:val="00CF69D0"/>
    <w:rsid w:val="00D00608"/>
    <w:rsid w:val="00D00F0A"/>
    <w:rsid w:val="00D02589"/>
    <w:rsid w:val="00D03621"/>
    <w:rsid w:val="00D06144"/>
    <w:rsid w:val="00D131EF"/>
    <w:rsid w:val="00D13B38"/>
    <w:rsid w:val="00D149E1"/>
    <w:rsid w:val="00D16E2F"/>
    <w:rsid w:val="00D23344"/>
    <w:rsid w:val="00D241B3"/>
    <w:rsid w:val="00D328A2"/>
    <w:rsid w:val="00D332D3"/>
    <w:rsid w:val="00D47073"/>
    <w:rsid w:val="00D504C2"/>
    <w:rsid w:val="00D506F5"/>
    <w:rsid w:val="00D51DA8"/>
    <w:rsid w:val="00D56A38"/>
    <w:rsid w:val="00D60FBB"/>
    <w:rsid w:val="00D7467B"/>
    <w:rsid w:val="00D761DD"/>
    <w:rsid w:val="00D8118C"/>
    <w:rsid w:val="00D81B26"/>
    <w:rsid w:val="00D83320"/>
    <w:rsid w:val="00D83610"/>
    <w:rsid w:val="00D86E0C"/>
    <w:rsid w:val="00D9054F"/>
    <w:rsid w:val="00D93B8E"/>
    <w:rsid w:val="00D94A44"/>
    <w:rsid w:val="00D97B31"/>
    <w:rsid w:val="00DA6203"/>
    <w:rsid w:val="00DB08FB"/>
    <w:rsid w:val="00DB1EC0"/>
    <w:rsid w:val="00DB5BF8"/>
    <w:rsid w:val="00DC1A7C"/>
    <w:rsid w:val="00DC3CE2"/>
    <w:rsid w:val="00DD2204"/>
    <w:rsid w:val="00DD235F"/>
    <w:rsid w:val="00DD25D8"/>
    <w:rsid w:val="00DD2F8B"/>
    <w:rsid w:val="00DD62CA"/>
    <w:rsid w:val="00DE4A3F"/>
    <w:rsid w:val="00DE5D05"/>
    <w:rsid w:val="00E020D5"/>
    <w:rsid w:val="00E0468A"/>
    <w:rsid w:val="00E05114"/>
    <w:rsid w:val="00E10459"/>
    <w:rsid w:val="00E17403"/>
    <w:rsid w:val="00E24232"/>
    <w:rsid w:val="00E40C87"/>
    <w:rsid w:val="00E42F28"/>
    <w:rsid w:val="00E4662B"/>
    <w:rsid w:val="00E47A08"/>
    <w:rsid w:val="00E501B8"/>
    <w:rsid w:val="00E53778"/>
    <w:rsid w:val="00E5517D"/>
    <w:rsid w:val="00E61324"/>
    <w:rsid w:val="00E62CF7"/>
    <w:rsid w:val="00E67E16"/>
    <w:rsid w:val="00E71BF7"/>
    <w:rsid w:val="00E71E72"/>
    <w:rsid w:val="00E73DC8"/>
    <w:rsid w:val="00E77C5E"/>
    <w:rsid w:val="00E80D35"/>
    <w:rsid w:val="00E876CF"/>
    <w:rsid w:val="00E87FD1"/>
    <w:rsid w:val="00E927B9"/>
    <w:rsid w:val="00E9282E"/>
    <w:rsid w:val="00E932A7"/>
    <w:rsid w:val="00EA23F9"/>
    <w:rsid w:val="00EA48F0"/>
    <w:rsid w:val="00EA51D6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E4766"/>
    <w:rsid w:val="00EE4B54"/>
    <w:rsid w:val="00EE5220"/>
    <w:rsid w:val="00EE73BD"/>
    <w:rsid w:val="00EF3669"/>
    <w:rsid w:val="00EF55B4"/>
    <w:rsid w:val="00F00145"/>
    <w:rsid w:val="00F0017A"/>
    <w:rsid w:val="00F00465"/>
    <w:rsid w:val="00F012BD"/>
    <w:rsid w:val="00F02D1C"/>
    <w:rsid w:val="00F049A0"/>
    <w:rsid w:val="00F071FB"/>
    <w:rsid w:val="00F07E05"/>
    <w:rsid w:val="00F14642"/>
    <w:rsid w:val="00F14F87"/>
    <w:rsid w:val="00F170EB"/>
    <w:rsid w:val="00F2252D"/>
    <w:rsid w:val="00F259F8"/>
    <w:rsid w:val="00F25FCE"/>
    <w:rsid w:val="00F263C3"/>
    <w:rsid w:val="00F2757C"/>
    <w:rsid w:val="00F30217"/>
    <w:rsid w:val="00F306B2"/>
    <w:rsid w:val="00F318B7"/>
    <w:rsid w:val="00F31A81"/>
    <w:rsid w:val="00F33658"/>
    <w:rsid w:val="00F343C3"/>
    <w:rsid w:val="00F35BAC"/>
    <w:rsid w:val="00F36C59"/>
    <w:rsid w:val="00F4582E"/>
    <w:rsid w:val="00F53260"/>
    <w:rsid w:val="00F534FB"/>
    <w:rsid w:val="00F56B3B"/>
    <w:rsid w:val="00F570CD"/>
    <w:rsid w:val="00F67C6B"/>
    <w:rsid w:val="00F71001"/>
    <w:rsid w:val="00F71BA2"/>
    <w:rsid w:val="00F71C27"/>
    <w:rsid w:val="00F72B35"/>
    <w:rsid w:val="00F84B72"/>
    <w:rsid w:val="00F87CE8"/>
    <w:rsid w:val="00FA1B01"/>
    <w:rsid w:val="00FA4A39"/>
    <w:rsid w:val="00FB36DF"/>
    <w:rsid w:val="00FB61E4"/>
    <w:rsid w:val="00FD31EE"/>
    <w:rsid w:val="00FD378B"/>
    <w:rsid w:val="00FD3E3B"/>
    <w:rsid w:val="00FD3E63"/>
    <w:rsid w:val="00FD4D9D"/>
    <w:rsid w:val="00FD5A94"/>
    <w:rsid w:val="00FE0837"/>
    <w:rsid w:val="00FE2780"/>
    <w:rsid w:val="00FE2D19"/>
    <w:rsid w:val="00FE3862"/>
    <w:rsid w:val="00FE409D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a,Resume Title"/>
    <w:basedOn w:val="Normal"/>
    <w:link w:val="PrrafodelistaCar"/>
    <w:uiPriority w:val="34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39"/>
    <w:rsid w:val="005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876CF"/>
  </w:style>
  <w:style w:type="paragraph" w:styleId="Textoindependiente">
    <w:name w:val="Body Text"/>
    <w:basedOn w:val="Normal"/>
    <w:link w:val="TextoindependienteCar"/>
    <w:qFormat/>
    <w:rsid w:val="00DB5BF8"/>
    <w:pPr>
      <w:spacing w:before="180" w:after="180" w:line="240" w:lineRule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B5BF8"/>
    <w:rPr>
      <w:sz w:val="24"/>
      <w:szCs w:val="24"/>
    </w:rPr>
  </w:style>
  <w:style w:type="paragraph" w:customStyle="1" w:styleId="FirstParagraph">
    <w:name w:val="First Paragraph"/>
    <w:basedOn w:val="Textoindependiente"/>
    <w:next w:val="Textoindependiente"/>
    <w:qFormat/>
    <w:rsid w:val="00DB5BF8"/>
  </w:style>
  <w:style w:type="paragraph" w:customStyle="1" w:styleId="Compact">
    <w:name w:val="Compact"/>
    <w:basedOn w:val="Textoindependiente"/>
    <w:qFormat/>
    <w:rsid w:val="00DB5BF8"/>
    <w:pPr>
      <w:spacing w:before="36" w:after="36"/>
    </w:pPr>
  </w:style>
  <w:style w:type="character" w:customStyle="1" w:styleId="PrrafodelistaCar">
    <w:name w:val="Párrafo de lista Car"/>
    <w:aliases w:val="Ha Car,Resume Title Car"/>
    <w:link w:val="Prrafodelista"/>
    <w:uiPriority w:val="34"/>
    <w:locked/>
    <w:rsid w:val="0066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0EFE2-7B15-4F93-916E-13937CD9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3366</Words>
  <Characters>18518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Emiro Enrique González Martínez</cp:lastModifiedBy>
  <cp:revision>5</cp:revision>
  <cp:lastPrinted>2019-05-17T21:23:00Z</cp:lastPrinted>
  <dcterms:created xsi:type="dcterms:W3CDTF">2020-06-13T01:33:00Z</dcterms:created>
  <dcterms:modified xsi:type="dcterms:W3CDTF">2020-06-13T02:14:00Z</dcterms:modified>
</cp:coreProperties>
</file>